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rFonts w:ascii="맑은 고딕" w:cs="맑은 고딕" w:eastAsia="맑은 고딕" w:hAnsi="맑은 고딕"/>
          <w:b/>
          <w:bCs/>
          <w:color w:val="2C7A7B"/>
          <w:sz w:val="26"/>
          <w:szCs w:val="26"/>
        </w:rPr>
        <w:t xml:space="preserve">이커머스 풀필먼트 센터</w:t>
      </w:r>
    </w:p>
    <w:p>
      <w:pPr>
        <w:pBdr>
          <w:bottom w:val="single" w:color="1B4965" w:sz="18" w:space="14"/>
        </w:pBdr>
        <w:spacing w:after="40"/>
        <w:jc w:val="center"/>
      </w:pPr>
      <w:r>
        <w:rPr>
          <w:rFonts w:ascii="맑은 고딕" w:cs="맑은 고딕" w:eastAsia="맑은 고딕" w:hAnsi="맑은 고딕"/>
          <w:b/>
          <w:bCs/>
          <w:color w:val="1B4965"/>
          <w:sz w:val="52"/>
          <w:szCs w:val="52"/>
        </w:rPr>
        <w:t xml:space="preserve">물류센터 운영 매뉴얼</w:t>
      </w:r>
    </w:p>
    <w:p>
      <w:pPr>
        <w:spacing w:after="1600" w:before="200"/>
        <w:jc w:val="center"/>
      </w:pPr>
      <w:r>
        <w:rPr>
          <w:rFonts w:ascii="맑은 고딕" w:cs="맑은 고딕" w:eastAsia="맑은 고딕" w:hAnsi="맑은 고딕"/>
          <w:color w:val="1F2933"/>
          <w:sz w:val="22"/>
          <w:szCs w:val="22"/>
        </w:rPr>
        <w:t xml:space="preserve">트랙스로지스 영종센터 · Operation Manual</w:t>
      </w:r>
    </w:p>
    <w:p>
      <w:pPr>
        <w:spacing w:after="60"/>
        <w:jc w:val="center"/>
      </w:pPr>
      <w:r>
        <w:rPr>
          <w:rFonts w:ascii="맑은 고딕" w:cs="맑은 고딕" w:eastAsia="맑은 고딕" w:hAnsi="맑은 고딕"/>
          <w:b/>
          <w:bCs/>
          <w:color w:val="2C7A7B"/>
          <w:sz w:val="18"/>
          <w:szCs w:val="18"/>
        </w:rPr>
        <w:t xml:space="preserve">회사명  </w:t>
      </w:r>
      <w:r>
        <w:rPr>
          <w:rFonts w:ascii="맑은 고딕" w:cs="맑은 고딕" w:eastAsia="맑은 고딕" w:hAnsi="맑은 고딕"/>
          <w:color w:val="1F2933"/>
          <w:sz w:val="18"/>
          <w:szCs w:val="18"/>
        </w:rPr>
        <w:t xml:space="preserve">트랙스로지스코리아(주) (TracX Logis Korea)</w:t>
      </w:r>
    </w:p>
    <w:p>
      <w:pPr>
        <w:spacing w:after="60"/>
        <w:jc w:val="center"/>
      </w:pPr>
      <w:r>
        <w:rPr>
          <w:rFonts w:ascii="맑은 고딕" w:cs="맑은 고딕" w:eastAsia="맑은 고딕" w:hAnsi="맑은 고딕"/>
          <w:b/>
          <w:bCs/>
          <w:color w:val="2C7A7B"/>
          <w:sz w:val="18"/>
          <w:szCs w:val="18"/>
        </w:rPr>
        <w:t xml:space="preserve">센터명  </w:t>
      </w:r>
      <w:r>
        <w:rPr>
          <w:rFonts w:ascii="맑은 고딕" w:cs="맑은 고딕" w:eastAsia="맑은 고딕" w:hAnsi="맑은 고딕"/>
          <w:color w:val="1F2933"/>
          <w:sz w:val="18"/>
          <w:szCs w:val="18"/>
        </w:rPr>
        <w:t xml:space="preserve">영종센터</w:t>
      </w:r>
    </w:p>
    <w:p>
      <w:pPr>
        <w:spacing w:after="60"/>
        <w:jc w:val="center"/>
      </w:pPr>
      <w:r>
        <w:rPr>
          <w:rFonts w:ascii="맑은 고딕" w:cs="맑은 고딕" w:eastAsia="맑은 고딕" w:hAnsi="맑은 고딕"/>
          <w:b/>
          <w:bCs/>
          <w:color w:val="2C7A7B"/>
          <w:sz w:val="18"/>
          <w:szCs w:val="18"/>
        </w:rPr>
        <w:t xml:space="preserve">소재지  </w:t>
      </w:r>
      <w:r>
        <w:rPr>
          <w:rFonts w:ascii="맑은 고딕" w:cs="맑은 고딕" w:eastAsia="맑은 고딕" w:hAnsi="맑은 고딕"/>
          <w:color w:val="1F2933"/>
          <w:sz w:val="18"/>
          <w:szCs w:val="18"/>
        </w:rPr>
        <w:t xml:space="preserve">인천광역시 중구 영종순환로900번길 30, 3층</w:t>
      </w:r>
    </w:p>
    <w:p>
      <w:pPr>
        <w:spacing w:after="60"/>
        <w:jc w:val="center"/>
      </w:pPr>
      <w:r>
        <w:rPr>
          <w:rFonts w:ascii="맑은 고딕" w:cs="맑은 고딕" w:eastAsia="맑은 고딕" w:hAnsi="맑은 고딕"/>
          <w:b/>
          <w:bCs/>
          <w:color w:val="2C7A7B"/>
          <w:sz w:val="18"/>
          <w:szCs w:val="18"/>
        </w:rPr>
        <w:t xml:space="preserve">문서번호  </w:t>
      </w:r>
      <w:r>
        <w:rPr>
          <w:rFonts w:ascii="맑은 고딕" w:cs="맑은 고딕" w:eastAsia="맑은 고딕" w:hAnsi="맑은 고딕"/>
          <w:color w:val="1F2933"/>
          <w:sz w:val="18"/>
          <w:szCs w:val="18"/>
        </w:rPr>
        <w:t xml:space="preserve">TRX-OM-2026-01</w:t>
      </w:r>
    </w:p>
    <w:p>
      <w:pPr>
        <w:spacing w:after="60"/>
        <w:jc w:val="center"/>
      </w:pPr>
      <w:r>
        <w:rPr>
          <w:rFonts w:ascii="맑은 고딕" w:cs="맑은 고딕" w:eastAsia="맑은 고딕" w:hAnsi="맑은 고딕"/>
          <w:b/>
          <w:bCs/>
          <w:color w:val="2C7A7B"/>
          <w:sz w:val="18"/>
          <w:szCs w:val="18"/>
        </w:rPr>
        <w:t xml:space="preserve">버전  </w:t>
      </w:r>
      <w:r>
        <w:rPr>
          <w:rFonts w:ascii="맑은 고딕" w:cs="맑은 고딕" w:eastAsia="맑은 고딕" w:hAnsi="맑은 고딕"/>
          <w:color w:val="1F2933"/>
          <w:sz w:val="18"/>
          <w:szCs w:val="18"/>
        </w:rPr>
        <w:t xml:space="preserve">v2.0</w:t>
      </w:r>
    </w:p>
    <w:p>
      <w:pPr>
        <w:spacing w:after="60"/>
        <w:jc w:val="center"/>
      </w:pPr>
      <w:r>
        <w:rPr>
          <w:rFonts w:ascii="맑은 고딕" w:cs="맑은 고딕" w:eastAsia="맑은 고딕" w:hAnsi="맑은 고딕"/>
          <w:b/>
          <w:bCs/>
          <w:color w:val="2C7A7B"/>
          <w:sz w:val="18"/>
          <w:szCs w:val="18"/>
        </w:rPr>
        <w:t xml:space="preserve">작성일  2026-10-31</w:t>
      </w:r>
      <w:r>
        <w:rPr>
          <w:rFonts w:ascii="맑은 고딕" w:cs="맑은 고딕" w:eastAsia="맑은 고딕" w:hAnsi="맑은 고딕"/>
          <w:color w:val="1F2933"/>
          <w:sz w:val="18"/>
          <w:szCs w:val="18"/>
        </w:rPr>
        <w:t xml:space="preserve"/>
      </w:r>
    </w:p>
    <w:p>
      <w:pPr>
        <w:spacing w:after="60"/>
        <w:jc w:val="center"/>
      </w:pPr>
      <w:r>
        <w:rPr>
          <w:rFonts w:ascii="맑은 고딕" w:cs="맑은 고딕" w:eastAsia="맑은 고딕" w:hAnsi="맑은 고딕"/>
          <w:b/>
          <w:bCs/>
          <w:color w:val="2C7A7B"/>
          <w:sz w:val="18"/>
          <w:szCs w:val="18"/>
        </w:rPr>
        <w:t xml:space="preserve">분류  </w:t>
      </w:r>
      <w:r>
        <w:rPr>
          <w:rFonts w:ascii="맑은 고딕" w:cs="맑은 고딕" w:eastAsia="맑은 고딕" w:hAnsi="맑은 고딕"/>
          <w:color w:val="1F2933"/>
          <w:sz w:val="18"/>
          <w:szCs w:val="18"/>
        </w:rPr>
        <w:t xml:space="preserve">대외 제출용 / 스마트물류센터 인증</w:t>
      </w:r>
    </w:p>
    <w:p>
      <w:r>
        <w:br w:type="page"/>
      </w:r>
    </w:p>
    <w:p>
      <w:pPr>
        <w:spacing w:after="260"/>
      </w:pPr>
      <w:r>
        <w:rPr>
          <w:rFonts w:ascii="맑은 고딕" w:cs="맑은 고딕" w:eastAsia="맑은 고딕" w:hAnsi="맑은 고딕"/>
          <w:b/>
          <w:bCs/>
          <w:color w:val="1B4965"/>
          <w:sz w:val="32"/>
          <w:szCs w:val="32"/>
        </w:rPr>
        <w:t xml:space="preserve">목  차</w:t>
      </w:r>
    </w:p>
    <w:p>
      <w:pPr>
        <w:tabs>
          <w:tab w:val="right" w:pos="9026" w:leader="dot"/>
        </w:tabs>
        <w:spacing w:after="90"/>
      </w:pPr>
      <w:r>
        <w:rPr>
          <w:rFonts w:ascii="맑은 고딕" w:cs="맑은 고딕" w:eastAsia="맑은 고딕" w:hAnsi="맑은 고딕"/>
          <w:b/>
          <w:bCs/>
          <w:color w:val="1B4965"/>
          <w:sz w:val="20"/>
          <w:szCs w:val="20"/>
        </w:rPr>
        <w:t xml:space="preserve">1. 매뉴얼 개요</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3</w:t>
      </w:r>
    </w:p>
    <w:p>
      <w:pPr>
        <w:tabs>
          <w:tab w:val="right" w:pos="9026" w:leader="dot"/>
        </w:tabs>
        <w:spacing w:after="90"/>
      </w:pPr>
      <w:r>
        <w:rPr>
          <w:rFonts w:ascii="맑은 고딕" w:cs="맑은 고딕" w:eastAsia="맑은 고딕" w:hAnsi="맑은 고딕"/>
          <w:b/>
          <w:bCs/>
          <w:color w:val="1B4965"/>
          <w:sz w:val="20"/>
          <w:szCs w:val="20"/>
        </w:rPr>
        <w:t xml:space="preserve">2. 조직 및 역할</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4</w:t>
      </w:r>
    </w:p>
    <w:p>
      <w:pPr>
        <w:tabs>
          <w:tab w:val="right" w:pos="9026" w:leader="dot"/>
        </w:tabs>
        <w:spacing w:after="90"/>
      </w:pPr>
      <w:r>
        <w:rPr>
          <w:rFonts w:ascii="맑은 고딕" w:cs="맑은 고딕" w:eastAsia="맑은 고딕" w:hAnsi="맑은 고딕"/>
          <w:b/>
          <w:bCs/>
          <w:color w:val="1B4965"/>
          <w:sz w:val="20"/>
          <w:szCs w:val="20"/>
        </w:rPr>
        <w:t xml:space="preserve">3. 처리 유형 및 프로세스 개요</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5</w:t>
      </w:r>
    </w:p>
    <w:p>
      <w:pPr>
        <w:tabs>
          <w:tab w:val="right" w:pos="9026" w:leader="dot"/>
        </w:tabs>
        <w:spacing w:after="90"/>
      </w:pPr>
      <w:r>
        <w:rPr>
          <w:rFonts w:ascii="맑은 고딕" w:cs="맑은 고딕" w:eastAsia="맑은 고딕" w:hAnsi="맑은 고딕"/>
          <w:b/>
          <w:bCs/>
          <w:color w:val="1B4965"/>
          <w:sz w:val="20"/>
          <w:szCs w:val="20"/>
        </w:rPr>
        <w:t xml:space="preserve">4. 입고 프로세스</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6</w:t>
      </w:r>
    </w:p>
    <w:p>
      <w:pPr>
        <w:tabs>
          <w:tab w:val="right" w:pos="9026" w:leader="dot"/>
        </w:tabs>
        <w:spacing w:after="90"/>
      </w:pPr>
      <w:r>
        <w:rPr>
          <w:rFonts w:ascii="맑은 고딕" w:cs="맑은 고딕" w:eastAsia="맑은 고딕" w:hAnsi="맑은 고딕"/>
          <w:b/>
          <w:bCs/>
          <w:color w:val="1B4965"/>
          <w:sz w:val="20"/>
          <w:szCs w:val="20"/>
        </w:rPr>
        <w:t xml:space="preserve">5. WMS 출고 운영 (재고형)</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8</w:t>
      </w:r>
    </w:p>
    <w:p>
      <w:pPr>
        <w:tabs>
          <w:tab w:val="right" w:pos="9026" w:leader="dot"/>
        </w:tabs>
        <w:spacing w:after="90"/>
      </w:pPr>
      <w:r>
        <w:rPr>
          <w:rFonts w:ascii="맑은 고딕" w:cs="맑은 고딕" w:eastAsia="맑은 고딕" w:hAnsi="맑은 고딕"/>
          <w:b/>
          <w:bCs/>
          <w:color w:val="1B4965"/>
          <w:sz w:val="20"/>
          <w:szCs w:val="20"/>
        </w:rPr>
        <w:t xml:space="preserve">6. 화물 입고 · 소터 분류 · 번들 작업</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10</w:t>
      </w:r>
    </w:p>
    <w:p>
      <w:pPr>
        <w:tabs>
          <w:tab w:val="right" w:pos="9026" w:leader="dot"/>
        </w:tabs>
        <w:spacing w:after="90"/>
      </w:pPr>
      <w:r>
        <w:rPr>
          <w:rFonts w:ascii="맑은 고딕" w:cs="맑은 고딕" w:eastAsia="맑은 고딕" w:hAnsi="맑은 고딕"/>
          <w:b/>
          <w:bCs/>
          <w:color w:val="1B4965"/>
          <w:sz w:val="20"/>
          <w:szCs w:val="20"/>
        </w:rPr>
        <w:t xml:space="preserve">7. 자동화 설비 운영</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11</w:t>
      </w:r>
    </w:p>
    <w:p>
      <w:pPr>
        <w:tabs>
          <w:tab w:val="right" w:pos="9026" w:leader="dot"/>
        </w:tabs>
        <w:spacing w:after="90"/>
      </w:pPr>
      <w:r>
        <w:rPr>
          <w:rFonts w:ascii="맑은 고딕" w:cs="맑은 고딕" w:eastAsia="맑은 고딕" w:hAnsi="맑은 고딕"/>
          <w:b/>
          <w:bCs/>
          <w:color w:val="1B4965"/>
          <w:sz w:val="20"/>
          <w:szCs w:val="20"/>
        </w:rPr>
        <w:t xml:space="preserve">8. 검수 · 품질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9. 재고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10. 안전 · 보건 관리</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12</w:t>
      </w:r>
    </w:p>
    <w:p>
      <w:pPr>
        <w:tabs>
          <w:tab w:val="right" w:pos="9026" w:leader="dot"/>
        </w:tabs>
        <w:spacing w:after="90"/>
      </w:pPr>
      <w:r>
        <w:rPr>
          <w:rFonts w:ascii="맑은 고딕" w:cs="맑은 고딕" w:eastAsia="맑은 고딕" w:hAnsi="맑은 고딕"/>
          <w:b/>
          <w:bCs/>
          <w:color w:val="1B4965"/>
          <w:sz w:val="20"/>
          <w:szCs w:val="20"/>
        </w:rPr>
        <w:t xml:space="preserve">11. 비상 및 예외 대응 (BCP)</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13</w:t>
      </w:r>
    </w:p>
    <w:p>
      <w:pPr>
        <w:tabs>
          <w:tab w:val="right" w:pos="9026" w:leader="dot"/>
        </w:tabs>
        <w:spacing w:after="90"/>
      </w:pPr>
      <w:r>
        <w:rPr>
          <w:rFonts w:ascii="맑은 고딕" w:cs="맑은 고딕" w:eastAsia="맑은 고딕" w:hAnsi="맑은 고딕"/>
          <w:b/>
          <w:bCs/>
          <w:color w:val="1B4965"/>
          <w:sz w:val="20"/>
          <w:szCs w:val="20"/>
        </w:rPr>
        <w:t xml:space="preserve">12. 교육 · 5S · 개선</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13</w:t>
      </w:r>
    </w:p>
    <w:p>
      <w:pPr>
        <w:tabs>
          <w:tab w:val="right" w:pos="9026" w:leader="dot"/>
        </w:tabs>
        <w:spacing w:after="90"/>
      </w:pPr>
      <w:r>
        <w:rPr>
          <w:rFonts w:ascii="맑은 고딕" w:cs="맑은 고딕" w:eastAsia="맑은 고딕" w:hAnsi="맑은 고딕"/>
          <w:b/>
          <w:bCs/>
          <w:color w:val="1B4965"/>
          <w:sz w:val="20"/>
          <w:szCs w:val="20"/>
        </w:rPr>
        <w:t xml:space="preserve">13. 운영 지표(KPI)</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14</w:t>
      </w:r>
    </w:p>
    <w:p>
      <w:pPr>
        <w:tabs>
          <w:tab w:val="right" w:pos="9026" w:leader="dot"/>
        </w:tabs>
        <w:spacing w:after="90"/>
      </w:pPr>
      <w:r>
        <w:rPr>
          <w:rFonts w:ascii="맑은 고딕" w:cs="맑은 고딕" w:eastAsia="맑은 고딕" w:hAnsi="맑은 고딕"/>
          <w:b/>
          <w:bCs/>
          <w:color w:val="1B4965"/>
          <w:sz w:val="20"/>
          <w:szCs w:val="20"/>
        </w:rPr>
        <w:t xml:space="preserve">부록 A. 일일 운영 체크리스트</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pPr>
        <w:tabs>
          <w:tab w:val="right" w:pos="9026" w:leader="dot"/>
        </w:tabs>
        <w:spacing w:after="90"/>
      </w:pPr>
      <w:r>
        <w:rPr>
          <w:rFonts w:ascii="맑은 고딕" w:cs="맑은 고딕" w:eastAsia="맑은 고딕" w:hAnsi="맑은 고딕"/>
          <w:b/>
          <w:bCs/>
          <w:color w:val="1B4965"/>
          <w:sz w:val="20"/>
          <w:szCs w:val="20"/>
        </w:rPr>
        <w:t xml:space="preserve">부록 B. 설비 점검 주기표</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pPr>
        <w:tabs>
          <w:tab w:val="right" w:pos="9026" w:leader="dot"/>
        </w:tabs>
        <w:spacing w:after="90"/>
      </w:pPr>
      <w:r>
        <w:rPr>
          <w:rFonts w:ascii="맑은 고딕" w:cs="맑은 고딕" w:eastAsia="맑은 고딕" w:hAnsi="맑은 고딕"/>
          <w:b/>
          <w:bCs/>
          <w:color w:val="1B4965"/>
          <w:sz w:val="20"/>
          <w:szCs w:val="20"/>
        </w:rPr>
        <w:t xml:space="preserve">부록 C. 주요 양식 목록</w:t>
      </w:r>
      <w:r>
        <w:rPr>
          <w:rFonts w:ascii="맑은 고딕" w:cs="맑은 고딕" w:eastAsia="맑은 고딕" w:hAnsi="맑은 고딕"/>
          <w:sz w:val="20"/>
          <w:szCs w:val="20"/>
        </w:rPr>
        <w:ptab w:alignment="right" w:relativeTo="margin" w:leader="dot"/>
      </w:r>
      <w:r>
        <w:rPr>
          <w:rFonts w:ascii="맑은 고딕" w:cs="맑은 고딕" w:eastAsia="맑은 고딕" w:hAnsi="맑은 고딕"/>
          <w:b/>
          <w:bCs/>
          <w:color w:val="1B4965"/>
          <w:sz w:val="20"/>
          <w:szCs w:val="20"/>
        </w:rPr>
        <w:t xml:space="preserve">15</w:t>
      </w:r>
    </w:p>
    <w:p>
      <w:r>
        <w:br w:type="page"/>
      </w:r>
    </w:p>
    <w:p>
      <w:pPr>
        <w:sectPr>
          <w:footerReference w:type="default" r:id="rId7"/>
          <w:headerReference w:type="default" r:id="rId13"/>
          <w:pgSz w:w="11906" w:h="16838" w:orient="portrait"/>
          <w:pgMar w:top="1440" w:right="1440" w:bottom="1440" w:left="1440" w:header="708" w:footer="708" w:gutter="0"/>
          <w:pgNumType/>
          <w:docGrid w:linePitch="360"/>
        </w:sectPr>
      </w:pP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 매뉴얼 개요</w:t>
      </w:r>
    </w:p>
    <w:p>
      <w:pPr>
        <w:pStyle w:val="Heading2"/>
        <w:spacing w:after="120" w:before="260"/>
      </w:pPr>
      <w:r>
        <w:rPr>
          <w:rFonts w:ascii="맑은 고딕" w:cs="맑은 고딕" w:eastAsia="맑은 고딕" w:hAnsi="맑은 고딕"/>
          <w:b/>
          <w:bCs/>
          <w:color w:val="2C7A7B"/>
          <w:sz w:val="24"/>
          <w:szCs w:val="24"/>
        </w:rPr>
        <w:t xml:space="preserve">1.1 목적</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본 매뉴얼은 트랙스로지스 영종센터의 일상 운영 표준(SOP)을 정의한다. 재고형(WMS 건)의 재고 입고·출고와 셀러 발송분(TMS 건)의 처리 절차, 담당 역할, 자동화 설비 운영, 검수·재고·안전·비상 대응 기준을 표준화하여 작업 품질과 생산성을 일정하게 유지하고, 신규 인력의 조기 적응과 인증 심사 대응을 돕는 것을 목적으로 한다.</w:t>
      </w:r>
    </w:p>
    <w:p>
      <w:pPr>
        <w:pStyle w:val="Heading2"/>
        <w:spacing w:after="120" w:before="260"/>
      </w:pPr>
      <w:r>
        <w:rPr>
          <w:rFonts w:ascii="맑은 고딕" w:cs="맑은 고딕" w:eastAsia="맑은 고딕" w:hAnsi="맑은 고딕"/>
          <w:b/>
          <w:bCs/>
          <w:color w:val="2C7A7B"/>
          <w:sz w:val="24"/>
          <w:szCs w:val="24"/>
        </w:rPr>
        <w:t xml:space="preserve">1.2 적용 범위</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본 매뉴얼은 영종센터의 모든 현장 운영 활동에 적용된다. 시스템 상세 사양·연계 방식은 「물류정보시스템 기술서」 및 「업무·시스템 연계기술서」를 따른다.</w:t>
      </w:r>
    </w:p>
    <w:p>
      <w:pPr>
        <w:pStyle w:val="Heading2"/>
        <w:spacing w:after="120" w:before="260"/>
      </w:pPr>
      <w:r>
        <w:rPr>
          <w:rFonts w:ascii="맑은 고딕" w:cs="맑은 고딕" w:eastAsia="맑은 고딕" w:hAnsi="맑은 고딕"/>
          <w:b/>
          <w:bCs/>
          <w:color w:val="2C7A7B"/>
          <w:sz w:val="24"/>
          <w:szCs w:val="24"/>
        </w:rPr>
        <w:t xml:space="preserve">1.3 취급 특성</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취급 상품: 화장품, 실온 식품, 잡화 등(파손·누액·유통기한 관리 대상 포함).</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배송 권역: 국내(택배) 및 해외(항공 특송, MAWB) 병행.</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처리 유형: 재고형(WMS 건)과 셀러 발송분(TMS 건)의 이원 운영.</w:t>
      </w:r>
    </w:p>
    <w:p>
      <w:pPr>
        <w:pStyle w:val="Heading2"/>
        <w:spacing w:after="120" w:before="260"/>
      </w:pPr>
      <w:r>
        <w:rPr>
          <w:rFonts w:ascii="맑은 고딕" w:cs="맑은 고딕" w:eastAsia="맑은 고딕" w:hAnsi="맑은 고딕"/>
          <w:b/>
          <w:bCs/>
          <w:color w:val="2C7A7B"/>
          <w:sz w:val="24"/>
          <w:szCs w:val="24"/>
        </w:rPr>
        <w:t xml:space="preserve">1.4 SOP 표기 규칙</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각 프로세스는 목적·담당·투입/산출·절차·통제(검증)·예외 순으로 기술한다.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설비·시스템 조작은 스캔 검증을 원칙으로 하며, 수기 확정은 예외 절차로 관리한다.</w:t>
      </w:r>
    </w:p>
    <w:p>
      <w:pPr>
        <w:pStyle w:val="Heading2"/>
        <w:spacing w:after="120" w:before="260"/>
      </w:pPr>
      <w:r>
        <w:rPr>
          <w:rFonts w:ascii="맑은 고딕" w:cs="맑은 고딕" w:eastAsia="맑은 고딕" w:hAnsi="맑은 고딕"/>
          <w:b/>
          <w:bCs/>
          <w:color w:val="2C7A7B"/>
          <w:sz w:val="24"/>
          <w:szCs w:val="24"/>
        </w:rPr>
        <w:t xml:space="preserve">1.5 용어</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000"/>
        <w:gridCol w:w="7026"/>
      </w:tblGrid>
      <w:tr>
        <w:trPr>
          <w:tblHeader/>
        </w:trPr>
        <w:tc>
          <w:tcPr>
            <w:tcW w:type="dxa" w:w="20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용어</w:t>
            </w:r>
          </w:p>
        </w:tc>
        <w:tc>
          <w:tcPr>
            <w:tcW w:type="dxa" w:w="70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설명</w:t>
            </w:r>
          </w:p>
        </w:tc>
      </w:tr>
      <w:tr>
        <w:tc>
          <w:tcPr>
            <w:tcW w:type="dxa" w:w="2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입고</w:t>
            </w:r>
          </w:p>
        </w:tc>
        <w:tc>
          <w:tcPr>
            <w:tcW w:type="dxa" w:w="70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셀러 재고를 창고에 채우는 독립 입고 프로세스(주문 무관), 적치·보관에서 종료</w:t>
            </w:r>
          </w:p>
        </w:tc>
      </w:tr>
      <w:tr>
        <w:tc>
          <w:tcPr>
            <w:tcW w:type="dxa" w:w="2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화물 입고</w:t>
            </w:r>
          </w:p>
        </w:tc>
        <w:tc>
          <w:tcPr>
            <w:tcW w:type="dxa" w:w="70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소터로 넘길 화물 접수 작업. TMS 셀러 발송분 + WMS 출고 화물 공통(DWS/오토라벨러)</w:t>
            </w:r>
          </w:p>
        </w:tc>
      </w:tr>
      <w:tr>
        <w:tc>
          <w:tcPr>
            <w:tcW w:type="dxa" w:w="2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번들팩</w:t>
            </w:r>
          </w:p>
        </w:tc>
        <w:tc>
          <w:tcPr>
            <w:tcW w:type="dxa" w:w="70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목적지·Route로 묶어 인계하는 화물 단위</w:t>
            </w:r>
          </w:p>
        </w:tc>
      </w:tr>
      <w:tr>
        <w:tc>
          <w:tcPr>
            <w:tcW w:type="dxa" w:w="2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MAWB</w:t>
            </w:r>
          </w:p>
        </w:tc>
        <w:tc>
          <w:tcPr>
            <w:tcW w:type="dxa" w:w="70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항공 화물 마스터 운송장</w:t>
            </w:r>
          </w:p>
        </w:tc>
      </w:tr>
    </w:tbl>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2. 조직 및 역할</w:t>
      </w:r>
    </w:p>
    <w:p>
      <w:pPr>
        <w:pStyle w:val="Heading2"/>
        <w:spacing w:after="120" w:before="260"/>
      </w:pPr>
      <w:r>
        <w:rPr>
          <w:rFonts w:ascii="맑은 고딕" w:cs="맑은 고딕" w:eastAsia="맑은 고딕" w:hAnsi="맑은 고딕"/>
          <w:b/>
          <w:bCs/>
          <w:color w:val="2C7A7B"/>
          <w:sz w:val="24"/>
          <w:szCs w:val="24"/>
        </w:rPr>
        <w:t xml:space="preserve">2.1 역할 및 책임(R&amp;R)</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500"/>
        <w:gridCol w:w="3600"/>
        <w:gridCol w:w="3926"/>
      </w:tblGrid>
      <w:tr>
        <w:trPr>
          <w:tblHeader/>
        </w:trPr>
        <w:tc>
          <w:tcPr>
            <w:tcW w:type="dxa" w:w="15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역할</w:t>
            </w:r>
          </w:p>
        </w:tc>
        <w:tc>
          <w:tcPr>
            <w:tcW w:type="dxa" w:w="3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주요 책임</w:t>
            </w:r>
          </w:p>
        </w:tc>
        <w:tc>
          <w:tcPr>
            <w:tcW w:type="dxa" w:w="39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핵심 KPI</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센터장</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 총괄, 목표·안전 책임, 자원 배분</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인계율, 정확도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운영관리자</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일일 작업 계획·배분, 예외 조율, 실적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생산성, 오처리율</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리더</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입고·화물 입고 작업 관리</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리드타임, 검수 정확도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리더</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WMS 출고 피킹·검수·패킹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정확도, 정시 출고</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 분류·번들·인계 관리</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 정확도, 정시 인계</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관리자</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실사·조정·보충, 로케이션 관리</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정확도</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작업자</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입고·피킹·검수·패킹·분류·번들 수행</w:t>
            </w:r>
          </w:p>
        </w:tc>
        <w:tc>
          <w:tcPr>
            <w:tcW w:type="dxa" w:w="39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UPH, 오류율</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안전·품질 담당</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점검, 품질 감사, 교육</w:t>
            </w:r>
          </w:p>
        </w:tc>
        <w:tc>
          <w:tcPr>
            <w:tcW w:type="dxa" w:w="39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재해율, 클레임율</w:t>
            </w:r>
          </w:p>
        </w:tc>
      </w:tr>
    </w:tbl>
    <w:p>
      <w:pPr>
        <w:pStyle w:val="Heading2"/>
        <w:spacing w:after="120" w:before="260"/>
      </w:pPr>
      <w:r>
        <w:rPr>
          <w:rFonts w:ascii="맑은 고딕" w:cs="맑은 고딕" w:eastAsia="맑은 고딕" w:hAnsi="맑은 고딕"/>
          <w:b/>
          <w:bCs/>
          <w:color w:val="2C7A7B"/>
          <w:sz w:val="24"/>
          <w:szCs w:val="24"/>
        </w:rPr>
        <w:t xml:space="preserve">2.2 교대 및 인수인계</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교대 시 미처리 물량·설비 상태·특이사항을 인수인계서로 전달한다.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전 교대 미완료 건(입고 대기, 출고 지연, 검증 오류)을 우선 처리한다.</w:t>
      </w:r>
    </w:p>
    <w:p>
      <w:pPr>
        <w:spacing w:after="120" w:line="288"/>
        <w:jc w:val="both"/>
      </w:pPr>
      <w:r>
        <w:rPr>
          <w:rFonts w:ascii="맑은 고딕" w:cs="맑은 고딕" w:eastAsia="맑은 고딕" w:hAnsi="맑은 고딕"/>
          <w:b w:val="false"/>
          <w:bCs w:val="false"/>
          <w:i/>
          <w:iCs/>
          <w:color w:val="718096"/>
          <w:sz w:val="20"/>
          <w:szCs w:val="20"/>
        </w:rPr>
        <w:t xml:space="preserve">※ 직무별 인원·교대 편성(예: 주간/야간)은 실제 편성표로 입력.</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3. 처리 유형 및 프로세스 개요</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영종센터의 입고는 두 가지로 구분된다. 첫째, 재고 입고(재고형)는 셀러의 재고를 창고에 채우는 과정으로 고객 주문과 무관한 독립 프로세스이며, 입고·검수 후 재고로 적치·보관되어 종료된다. 둘째, 화물 입고는 소터로 넘어갈 화물을 접수하는 작업으로, TMS 셀러 발송분과 WMS 출고 화물이 공통의 화물 입고 작업(DWS/오토라벨러)을 거쳐 물류 소터로 유입된다. 소터 이후 번들 작업으로 통합되어 조업사·택배사로 인계된다.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입고(독립): 재고 신청 → 창고 승인 → 셀러 발송(택배·용차·자체) → 센터 입고 → 검수 → 재고 적치·보관.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주문 등록 → 출하지시 → 피킹리스트 → 피킹(총량/카트/동일패턴) → 검수 → 패킹 → 출고.</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화물 입고(합침): [TMS 셀러 발송분] + [WMS 출고 화물] → 화물 입고 작업 → 물류 소터.</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공통 후단: 소터 분류 → 번들 작업(MAWB·번들팩·Route 검증) → 번들팩 패킹 → 조업사·택배사 인계.</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4. 입고 프로세스</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입고는 재고 입고와 화물 입고 두 가지로 나뉜다. 재고 입고는 주문과 무관한 독립 프로세스로 적치·보관에서 종료되고, 화물 입고는 TMS 셀러 발송분과 WMS 출고 화물이 공통의 화물 입고 작업을 거쳐 소터로 넘어간다.</w:t>
      </w:r>
    </w:p>
    <w:p>
      <w:pPr>
        <w:spacing w:after="40" w:before="100"/>
        <w:jc w:val="center"/>
      </w:pPr>
      <w:r>
        <w:drawing>
          <wp:inline distT="0" distB="0" distL="0" distR="0">
            <wp:extent cx="56197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1962150"/>
                    </a:xfrm>
                    <a:prstGeom prst="rect">
                      <a:avLst/>
                    </a:prstGeom>
                  </pic:spPr>
                </pic:pic>
              </a:graphicData>
            </a:graphic>
          </wp:inline>
        </w:drawing>
      </w:r>
    </w:p>
    <w:p>
      <w:pPr>
        <w:spacing w:after="180"/>
        <w:jc w:val="center"/>
      </w:pPr>
      <w:r>
        <w:rPr>
          <w:rFonts w:ascii="맑은 고딕" w:cs="맑은 고딕" w:eastAsia="맑은 고딕" w:hAnsi="맑은 고딕"/>
          <w:i/>
          <w:iCs/>
          <w:color w:val="9AA5B1"/>
          <w:sz w:val="16"/>
          <w:szCs w:val="16"/>
        </w:rPr>
        <w:t xml:space="preserve">[그림 A] 영종센터 입고 프로세스 (재고 입고 = 독립 / 화물 입고 = TMS + WMS 출고 → 소터)</w:t>
      </w:r>
    </w:p>
    <w:p>
      <w:pPr>
        <w:pStyle w:val="Heading2"/>
        <w:spacing w:after="120" w:before="260"/>
      </w:pPr>
      <w:r>
        <w:rPr>
          <w:rFonts w:ascii="맑은 고딕" w:cs="맑은 고딕" w:eastAsia="맑은 고딕" w:hAnsi="맑은 고딕"/>
          <w:b/>
          <w:bCs/>
          <w:color w:val="2C7A7B"/>
          <w:sz w:val="24"/>
          <w:szCs w:val="24"/>
        </w:rPr>
        <w:t xml:space="preserve">4.1 재고 입고 (WMS 재고형 · 주문 무관)</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목적: 셀러 재고를 정확히 입고·검수하여 재고로 적치·보관한다. 담당: 입고 리더·작업자·재고 관리자.</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셀러가 Smartship에서 재고 신청(상품·수량·입고 예정).</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창고에서 신청 검토 후 승인(입고 슬롯 배정).</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셀러가 물품 발송(택배·용차·자체 발송).</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센터 입고 라인으로 물품 접수(발주/신청 대조).</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검수: 품목·수량·상태·유통기한 확인(불일치 시 사유 코드·보류).</w:t>
      </w:r>
    </w:p>
    <w:p>
      <w:pPr>
        <w:pStyle w:val="ListParagraph"/>
        <w:numPr>
          <w:ilvl w:val="0"/>
          <w:numId w:val="3"/>
        </w:numPr>
        <w:spacing w:after="60" w:line="276"/>
      </w:pPr>
      <w:r>
        <w:rPr>
          <w:rFonts w:ascii="맑은 고딕" w:cs="맑은 고딕" w:eastAsia="맑은 고딕" w:hAnsi="맑은 고딕"/>
          <w:b w:val="false"/>
          <w:bCs w:val="false"/>
          <w:i w:val="false"/>
          <w:iCs w:val="false"/>
          <w:color w:val="1F2933"/>
          <w:sz w:val="20"/>
          <w:szCs w:val="20"/>
        </w:rPr>
        <w:t xml:space="preserve">재고 적치: 시스템 추천 로케이션으로 적치 후 재고 반영(여기서 종료·보관).</w:t>
      </w:r>
    </w:p>
    <w:p>
      <w:pPr>
        <w:spacing w:after="120" w:line="288"/>
        <w:jc w:val="both"/>
      </w:pPr>
      <w:r>
        <w:rPr>
          <w:rFonts w:ascii="맑은 고딕" w:cs="맑은 고딕" w:eastAsia="맑은 고딕" w:hAnsi="맑은 고딕"/>
          <w:b w:val="false"/>
          <w:bCs w:val="false"/>
          <w:i w:val="false"/>
          <w:iCs w:val="false"/>
          <w:color w:val="4A5568"/>
          <w:sz w:val="20"/>
          <w:szCs w:val="20"/>
        </w:rPr>
        <w:t xml:space="preserve">통제: 발주·신청 대조, 스캔 검수, 로케이션 확정 스캔. 예외: 수량·품질 불일치 시 보류·반품 처리.</w:t>
      </w:r>
    </w:p>
    <w:p>
      <w:pPr>
        <w:pStyle w:val="Heading2"/>
        <w:spacing w:after="120" w:before="260"/>
      </w:pPr>
      <w:r>
        <w:rPr>
          <w:rFonts w:ascii="맑은 고딕" w:cs="맑은 고딕" w:eastAsia="맑은 고딕" w:hAnsi="맑은 고딕"/>
          <w:b/>
          <w:bCs/>
          <w:color w:val="2C7A7B"/>
          <w:sz w:val="24"/>
          <w:szCs w:val="24"/>
        </w:rPr>
        <w:t xml:space="preserve">4.2 화물 입고 (TMS 셀러 발송분 + WMS 출고 화물)</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목적: 소터로 넘어갈 화물을 접수·측정·라벨 처리하여 분류 준비한다. 담당: 입고 리더·작업자.</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TMS 셀러 발송분: Smartship에서 셀러가 주문 확인 → 라벨 출력·발송 → 센터 도착.</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화물: 재고 출고 프로세스([그림 B])에서 피킹·패킹·출고 완료된 화물.</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도착·완료 화물을 화물 입고 작업 라인으로 접수.</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DWS 라인: 사이즈·무게 측정 및 접수 확인 / 오토라벨러 라인: 라벨 부착·검증.</w:t>
      </w:r>
    </w:p>
    <w:p>
      <w:pPr>
        <w:pStyle w:val="ListParagraph"/>
        <w:numPr>
          <w:ilvl w:val="0"/>
          <w:numId w:val="4"/>
        </w:numPr>
        <w:spacing w:after="60" w:line="276"/>
      </w:pPr>
      <w:r>
        <w:rPr>
          <w:rFonts w:ascii="맑은 고딕" w:cs="맑은 고딕" w:eastAsia="맑은 고딕" w:hAnsi="맑은 고딕"/>
          <w:b w:val="false"/>
          <w:bCs w:val="false"/>
          <w:i w:val="false"/>
          <w:iCs w:val="false"/>
          <w:color w:val="1F2933"/>
          <w:sz w:val="20"/>
          <w:szCs w:val="20"/>
        </w:rPr>
        <w:t xml:space="preserve">접수 완료분을 물류 소터로 이송.</w:t>
      </w:r>
    </w:p>
    <w:p>
      <w:pPr>
        <w:spacing w:after="120" w:line="288"/>
        <w:jc w:val="both"/>
      </w:pPr>
      <w:r>
        <w:rPr>
          <w:rFonts w:ascii="맑은 고딕" w:cs="맑은 고딕" w:eastAsia="맑은 고딕" w:hAnsi="맑은 고딕"/>
          <w:b w:val="false"/>
          <w:bCs w:val="false"/>
          <w:i w:val="false"/>
          <w:iCs w:val="false"/>
          <w:color w:val="4A5568"/>
          <w:sz w:val="20"/>
          <w:szCs w:val="20"/>
        </w:rPr>
        <w:t xml:space="preserve">통제: 화물 스캔·측정값 확인. 예외: 라벨 미부착·훼손은 오토라벨러 라인 재라벨, 이상치 별도 확인.</w:t>
      </w:r>
    </w:p>
    <w:p>
      <w:pPr>
        <w:pStyle w:val="Heading2"/>
        <w:spacing w:after="120" w:before="260"/>
      </w:pPr>
      <w:r>
        <w:rPr>
          <w:rFonts w:ascii="맑은 고딕" w:cs="맑은 고딕" w:eastAsia="맑은 고딕" w:hAnsi="맑은 고딕"/>
          <w:b/>
          <w:bCs/>
          <w:color w:val="2C7A7B"/>
          <w:sz w:val="24"/>
          <w:szCs w:val="24"/>
        </w:rPr>
        <w:t xml:space="preserve">4.3 입고 유의사항</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입고와 화물 입고는 별개 프로세스이므로, 재고 입고분(적치 대상)과 화물 입고분(소터 대상)을 구분 스캔한다.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입고는 고객 주문과 무관하며, 적치된 재고는 이후 주문 발생 시 별도의 출고 프로세스([그림 B])로 처리된다.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라벨 미부착·훼손 물품은 오토라벨러 라인에서 재라벨 처리한다.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사이즈·무게 이상치는 별도 확인 후 진행한다.</w:t>
      </w:r>
    </w:p>
    <w:p>
      <w:pPr>
        <w:pStyle w:val="Heading2"/>
        <w:spacing w:after="120" w:before="260"/>
      </w:pPr>
      <w:r>
        <w:rPr>
          <w:rFonts w:ascii="맑은 고딕" w:cs="맑은 고딕" w:eastAsia="맑은 고딕" w:hAnsi="맑은 고딕"/>
          <w:b/>
          <w:bCs/>
          <w:color w:val="2C7A7B"/>
          <w:sz w:val="24"/>
          <w:szCs w:val="24"/>
        </w:rPr>
        <w:t xml:space="preserve">4.4 입고 검수 기준</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점검 항목</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기준</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품목·수량</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발주/신청 대비 일치</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외관</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파손·눌림·오염·누액 없음</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유통기한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화장품·식품 기한 잔여 확인</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라벨(화물)</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 부착·판독 가능</w:t>
            </w:r>
          </w:p>
        </w:tc>
      </w:tr>
    </w:tbl>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5. WMS 출고 운영 (재고형)</w:t>
      </w:r>
    </w:p>
    <w:p>
      <w:pPr>
        <w:spacing w:after="120" w:line="288"/>
        <w:jc w:val="both"/>
      </w:pPr>
      <w:r>
        <w:rPr>
          <w:rFonts w:ascii="맑은 고딕" w:cs="맑은 고딕" w:eastAsia="맑은 고딕" w:hAnsi="맑은 고딕"/>
          <w:b w:val="false"/>
          <w:bCs w:val="false"/>
          <w:i w:val="false"/>
          <w:iCs w:val="false"/>
          <w:color w:val="1F2933"/>
          <w:sz w:val="20"/>
          <w:szCs w:val="20"/>
        </w:rPr>
        <w:t xml:space="preserve">적치·보관된 재고는 주문 발생 시 출하지시에 따라 피킹·검수·패킹·출고되어 화물 입고 작업을 거쳐 물류 소터로 이송된다.</w:t>
      </w:r>
    </w:p>
    <w:p>
      <w:pPr>
        <w:spacing w:after="40" w:before="100"/>
        <w:jc w:val="center"/>
      </w:pPr>
      <w:r>
        <w:drawing>
          <wp:inline distT="0" distB="0" distL="0" distR="0">
            <wp:extent cx="56197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390900"/>
                    </a:xfrm>
                    <a:prstGeom prst="rect">
                      <a:avLst/>
                    </a:prstGeom>
                  </pic:spPr>
                </pic:pic>
              </a:graphicData>
            </a:graphic>
          </wp:inline>
        </w:drawing>
      </w:r>
    </w:p>
    <w:p>
      <w:pPr>
        <w:spacing w:after="180"/>
        <w:jc w:val="center"/>
      </w:pPr>
      <w:r>
        <w:rPr>
          <w:rFonts w:ascii="맑은 고딕" w:cs="맑은 고딕" w:eastAsia="맑은 고딕" w:hAnsi="맑은 고딕"/>
          <w:i/>
          <w:iCs/>
          <w:color w:val="9AA5B1"/>
          <w:sz w:val="16"/>
          <w:szCs w:val="16"/>
        </w:rPr>
        <w:t xml:space="preserve">[그림 B] 영종센터 출고·분류·인계 프로세스</w:t>
      </w:r>
    </w:p>
    <w:p>
      <w:pPr>
        <w:pStyle w:val="Heading2"/>
        <w:spacing w:after="120" w:before="260"/>
      </w:pPr>
      <w:r>
        <w:rPr>
          <w:rFonts w:ascii="맑은 고딕" w:cs="맑은 고딕" w:eastAsia="맑은 고딕" w:hAnsi="맑은 고딕"/>
          <w:b/>
          <w:bCs/>
          <w:color w:val="2C7A7B"/>
          <w:sz w:val="24"/>
          <w:szCs w:val="24"/>
        </w:rPr>
        <w:t xml:space="preserve">5.1 주문 등록 및 출하지시</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Smartship에 주문 등록(엑셀 업로드·단건 등록·Open API·플랫폼 연동).</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주문 검증 및 재고 할당 후 SW로 출하지시 전달.</w:t>
      </w:r>
    </w:p>
    <w:p>
      <w:pPr>
        <w:pStyle w:val="ListParagraph"/>
        <w:numPr>
          <w:ilvl w:val="0"/>
          <w:numId w:val="5"/>
        </w:numPr>
        <w:spacing w:after="60" w:line="276"/>
      </w:pPr>
      <w:r>
        <w:rPr>
          <w:rFonts w:ascii="맑은 고딕" w:cs="맑은 고딕" w:eastAsia="맑은 고딕" w:hAnsi="맑은 고딕"/>
          <w:b w:val="false"/>
          <w:bCs w:val="false"/>
          <w:i w:val="false"/>
          <w:iCs w:val="false"/>
          <w:color w:val="1F2933"/>
          <w:sz w:val="20"/>
          <w:szCs w:val="20"/>
        </w:rPr>
        <w:t xml:space="preserve">SW에서 피킹리스트 생성(피킹 방식 결정).</w:t>
      </w:r>
    </w:p>
    <w:p>
      <w:pPr>
        <w:pStyle w:val="Heading2"/>
        <w:spacing w:after="120" w:before="260"/>
      </w:pPr>
      <w:r>
        <w:rPr>
          <w:rFonts w:ascii="맑은 고딕" w:cs="맑은 고딕" w:eastAsia="맑은 고딕" w:hAnsi="맑은 고딕"/>
          <w:b/>
          <w:bCs/>
          <w:color w:val="2C7A7B"/>
          <w:sz w:val="24"/>
          <w:szCs w:val="24"/>
        </w:rPr>
        <w:t xml:space="preserve">5.2 피킹 방식</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300"/>
        <w:gridCol w:w="3600"/>
        <w:gridCol w:w="2400"/>
        <w:gridCol w:w="1726"/>
      </w:tblGrid>
      <w:tr>
        <w:trPr>
          <w:tblHeader/>
        </w:trPr>
        <w:tc>
          <w:tcPr>
            <w:tcW w:type="dxa" w:w="13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방식</w:t>
            </w:r>
          </w:p>
        </w:tc>
        <w:tc>
          <w:tcPr>
            <w:tcW w:type="dxa" w:w="3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설명</w:t>
            </w:r>
          </w:p>
        </w:tc>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적용</w:t>
            </w:r>
          </w:p>
        </w:tc>
        <w:tc>
          <w:tcPr>
            <w:tcW w:type="dxa" w:w="17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r>
      <w:tr>
        <w:tc>
          <w:tcPr>
            <w:tcW w:type="dxa" w:w="13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총량피킹</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SKU 총량 피킹 후 주문별 분배</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다수 주문·소량 다품목</w:t>
            </w:r>
          </w:p>
        </w:tc>
        <w:tc>
          <w:tcPr>
            <w:tcW w:type="dxa" w:w="17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DAS</w:t>
            </w:r>
          </w:p>
        </w:tc>
      </w:tr>
      <w:tr>
        <w:tc>
          <w:tcPr>
            <w:tcW w:type="dxa" w:w="13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카트피킹</w:t>
            </w:r>
          </w:p>
        </w:tc>
        <w:tc>
          <w:tcPr>
            <w:tcW w:type="dxa" w:w="3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카트 단위 다수 주문 동시 피킹</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일반 혼합 주문</w:t>
            </w:r>
          </w:p>
        </w:tc>
        <w:tc>
          <w:tcPr>
            <w:tcW w:type="dxa" w:w="17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PDA/카트</w:t>
            </w:r>
          </w:p>
        </w:tc>
      </w:tr>
      <w:tr>
        <w:tc>
          <w:tcPr>
            <w:tcW w:type="dxa" w:w="13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동일패턴 피킹</w:t>
            </w:r>
          </w:p>
        </w:tc>
        <w:tc>
          <w:tcPr>
            <w:tcW w:type="dxa" w:w="3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구성 주문 묶음 피킹</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동일 구성 반복 주문</w:t>
            </w:r>
          </w:p>
        </w:tc>
        <w:tc>
          <w:tcPr>
            <w:tcW w:type="dxa" w:w="17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PTL/PDA</w:t>
            </w:r>
          </w:p>
        </w:tc>
      </w:tr>
    </w:tbl>
    <w:p>
      <w:pPr>
        <w:pStyle w:val="Heading2"/>
        <w:spacing w:after="120" w:before="260"/>
      </w:pPr>
      <w:r>
        <w:rPr>
          <w:rFonts w:ascii="맑은 고딕" w:cs="맑은 고딕" w:eastAsia="맑은 고딕" w:hAnsi="맑은 고딕"/>
          <w:b/>
          <w:bCs/>
          <w:color w:val="2C7A7B"/>
          <w:sz w:val="24"/>
          <w:szCs w:val="24"/>
        </w:rPr>
        <w:t xml:space="preserve">5.3 절차</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피킹리스트에 따라 피킹 수행(총량은 DAS 분배, PTL·PDA 활용).</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검수: PDA 스캔으로 SKU·수량 검증.</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패킹: 상품 특성에 맞는 포장(화장품·실온 식품 파손·누액 주의).</w:t>
      </w:r>
    </w:p>
    <w:p>
      <w:pPr>
        <w:pStyle w:val="ListParagraph"/>
        <w:numPr>
          <w:ilvl w:val="0"/>
          <w:numId w:val="6"/>
        </w:numPr>
        <w:spacing w:after="60" w:line="276"/>
      </w:pPr>
      <w:r>
        <w:rPr>
          <w:rFonts w:ascii="맑은 고딕" w:cs="맑은 고딕" w:eastAsia="맑은 고딕" w:hAnsi="맑은 고딕"/>
          <w:b w:val="false"/>
          <w:bCs w:val="false"/>
          <w:i w:val="false"/>
          <w:iCs w:val="false"/>
          <w:color w:val="1F2933"/>
          <w:sz w:val="20"/>
          <w:szCs w:val="20"/>
        </w:rPr>
        <w:t xml:space="preserve">출고 확정 후 화물 입고 작업을 거쳐 물류 소터로 이송.</w:t>
      </w:r>
    </w:p>
    <w:p>
      <w:pPr>
        <w:pStyle w:val="Heading2"/>
        <w:spacing w:after="120" w:before="260"/>
      </w:pPr>
      <w:r>
        <w:rPr>
          <w:rFonts w:ascii="맑은 고딕" w:cs="맑은 고딕" w:eastAsia="맑은 고딕" w:hAnsi="맑은 고딕"/>
          <w:b/>
          <w:bCs/>
          <w:color w:val="2C7A7B"/>
          <w:sz w:val="24"/>
          <w:szCs w:val="24"/>
        </w:rPr>
        <w:t xml:space="preserve">5.4 오류 예방</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스캔 검증 없는 수기 확정 금지.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SKU·수량 불일치 시 즉시 중단하고 리더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파손 우려 품목은 완충·구분 포장을 적용한다.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6. 화물 입고 · 소터 분류 · 번들 작업</w:t>
      </w:r>
    </w:p>
    <w:p>
      <w:pPr>
        <w:pStyle w:val="Heading2"/>
        <w:spacing w:after="120" w:before="260"/>
      </w:pPr>
      <w:r>
        <w:rPr>
          <w:rFonts w:ascii="맑은 고딕" w:cs="맑은 고딕" w:eastAsia="맑은 고딕" w:hAnsi="맑은 고딕"/>
          <w:b/>
          <w:bCs/>
          <w:color w:val="2C7A7B"/>
          <w:sz w:val="24"/>
          <w:szCs w:val="24"/>
        </w:rPr>
        <w:t xml:space="preserve">6.1 물류 소터 분류</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화물과 TMS 셀러 발송분이 공통의 화물 입고 작업을 거쳐 물류 소터로 유입된다.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오토라벨러·싱귤레이터를 통해 분류 로직에 따라 화물을 자동 분류한다.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분류 슈트별로 목적지(국내/해외)·Route 기준 화물을 집적한다.</w:t>
      </w:r>
    </w:p>
    <w:p>
      <w:pPr>
        <w:pStyle w:val="Heading2"/>
        <w:spacing w:after="120" w:before="260"/>
      </w:pPr>
      <w:r>
        <w:rPr>
          <w:rFonts w:ascii="맑은 고딕" w:cs="맑은 고딕" w:eastAsia="맑은 고딕" w:hAnsi="맑은 고딕"/>
          <w:b/>
          <w:bCs/>
          <w:color w:val="2C7A7B"/>
          <w:sz w:val="24"/>
          <w:szCs w:val="24"/>
        </w:rPr>
        <w:t xml:space="preserve">6.2 번들 작업 및 검증</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분류된 화물을 모아 번들 작업 수행.</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PDA 바코드 스캔으로 MAWB·번들팩 번호·Route 검증.</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검증 완료 후 번들팩 패킹.</w:t>
      </w:r>
    </w:p>
    <w:p>
      <w:pPr>
        <w:pStyle w:val="ListParagraph"/>
        <w:numPr>
          <w:ilvl w:val="0"/>
          <w:numId w:val="7"/>
        </w:numPr>
        <w:spacing w:after="60" w:line="276"/>
      </w:pPr>
      <w:r>
        <w:rPr>
          <w:rFonts w:ascii="맑은 고딕" w:cs="맑은 고딕" w:eastAsia="맑은 고딕" w:hAnsi="맑은 고딕"/>
          <w:b w:val="false"/>
          <w:bCs w:val="false"/>
          <w:i w:val="false"/>
          <w:iCs w:val="false"/>
          <w:color w:val="1F2933"/>
          <w:sz w:val="20"/>
          <w:szCs w:val="20"/>
        </w:rPr>
        <w:t xml:space="preserve">조업사(해외 항공)·택배사(국내)로 인계.</w:t>
      </w:r>
    </w:p>
    <w:p>
      <w:pPr>
        <w:pStyle w:val="Heading2"/>
        <w:spacing w:after="120" w:before="260"/>
      </w:pPr>
      <w:r>
        <w:rPr>
          <w:rFonts w:ascii="맑은 고딕" w:cs="맑은 고딕" w:eastAsia="맑은 고딕" w:hAnsi="맑은 고딕"/>
          <w:b/>
          <w:bCs/>
          <w:color w:val="2C7A7B"/>
          <w:sz w:val="24"/>
          <w:szCs w:val="24"/>
        </w:rPr>
        <w:t xml:space="preserve">6.3 검증 실패 처리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MAWB·번들팩·Route 불일치 시 번들 작업을 중단하고 재검증한다.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반복 불일치 건은 리더가 확인 후 예외 처리하고 원인을 기록한다.</w:t>
      </w:r>
    </w:p>
    <w:p>
      <w:pPr>
        <w:pStyle w:val="Heading2"/>
        <w:spacing w:after="120" w:before="260"/>
      </w:pPr>
      <w:r>
        <w:rPr>
          <w:rFonts w:ascii="맑은 고딕" w:cs="맑은 고딕" w:eastAsia="맑은 고딕" w:hAnsi="맑은 고딕"/>
          <w:b/>
          <w:bCs/>
          <w:color w:val="2C7A7B"/>
          <w:sz w:val="24"/>
          <w:szCs w:val="24"/>
        </w:rPr>
        <w:t xml:space="preserve">6.4 인계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인계 시각·수량·번들팩을 확인하고 인계 확인(서명/스캔)을 남긴다.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해외(조업사)·국내(택배사) 별로 마감 시각을 관리하여 정시 인계율을 확보한다.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7. 자동화 설비 운영</w:t>
      </w:r>
    </w:p>
    <w:p>
      <w:pPr>
        <w:pStyle w:val="Heading2"/>
        <w:spacing w:after="120" w:before="260"/>
      </w:pPr>
      <w:r>
        <w:rPr>
          <w:rFonts w:ascii="맑은 고딕" w:cs="맑은 고딕" w:eastAsia="맑은 고딕" w:hAnsi="맑은 고딕"/>
          <w:b/>
          <w:bCs/>
          <w:color w:val="2C7A7B"/>
          <w:sz w:val="24"/>
          <w:szCs w:val="24"/>
        </w:rPr>
        <w:t xml:space="preserve">7.1 운영 유의사항</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800"/>
        <w:gridCol w:w="7226"/>
      </w:tblGrid>
      <w:tr>
        <w:trPr>
          <w:tblHeader/>
        </w:trPr>
        <w:tc>
          <w:tcPr>
            <w:tcW w:type="dxa" w:w="18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c>
          <w:tcPr>
            <w:tcW w:type="dxa" w:w="72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운영 유의사항</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DAS</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총량 분배 오류 방지를 위해 지시 표시 확인 후 투입</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3D Sorter / 물류 소터</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정기 점검, 잼(jam) 발생 시 안전 정지 후 조치</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PTL</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표시기 점등 상태 확인, 오점등 시 리더 보고</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DWS</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측정 캘리브레이션 점검, 이상치 재측정</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오토라벨러</w:t>
            </w:r>
          </w:p>
        </w:tc>
        <w:tc>
          <w:tcPr>
            <w:tcW w:type="dxa" w:w="7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 재고·부착 상태 확인, 미부착 화물 재처리</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w:t>
            </w:r>
          </w:p>
        </w:tc>
        <w:tc>
          <w:tcPr>
            <w:tcW w:type="dxa" w:w="7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배터리·통신 상태 확인, 스캔 미인식 시 재스캔</w:t>
            </w:r>
          </w:p>
        </w:tc>
      </w:tr>
    </w:tbl>
    <w:p>
      <w:pPr>
        <w:pStyle w:val="Heading2"/>
        <w:spacing w:after="120" w:before="260"/>
      </w:pPr>
      <w:r>
        <w:rPr>
          <w:rFonts w:ascii="맑은 고딕" w:cs="맑은 고딕" w:eastAsia="맑은 고딕" w:hAnsi="맑은 고딕"/>
          <w:b/>
          <w:bCs/>
          <w:color w:val="2C7A7B"/>
          <w:sz w:val="24"/>
          <w:szCs w:val="24"/>
        </w:rPr>
        <w:t xml:space="preserve">7.2 점검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개장 전 일상 점검, 주간·월간 정기 점검을 시행한다(부록 B 참조).</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이상 발견 시 사용 중지·표시 후 정비를 요청한다.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8. 검수 · 품질 관리</w:t>
      </w:r>
    </w:p>
    <w:p>
      <w:pPr>
        <w:pStyle w:val="Heading2"/>
        <w:spacing w:after="120" w:before="260"/>
      </w:pPr>
      <w:r>
        <w:rPr>
          <w:rFonts w:ascii="맑은 고딕" w:cs="맑은 고딕" w:eastAsia="맑은 고딕" w:hAnsi="맑은 고딕"/>
          <w:b/>
          <w:bCs/>
          <w:color w:val="2C7A7B"/>
          <w:sz w:val="24"/>
          <w:szCs w:val="24"/>
        </w:rPr>
        <w:t xml:space="preserve">8.1 검수 기준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입고·출고·인계 전 SKU·수량·상태를 스캔 검수하고, 파손·누액·오품은 보류 처리한다.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화장품·실온 식품은 유통기한·용기 상태를 확인한다.</w:t>
      </w:r>
    </w:p>
    <w:p>
      <w:pPr>
        <w:pStyle w:val="Heading2"/>
        <w:spacing w:after="120" w:before="260"/>
      </w:pPr>
      <w:r>
        <w:rPr>
          <w:rFonts w:ascii="맑은 고딕" w:cs="맑은 고딕" w:eastAsia="맑은 고딕" w:hAnsi="맑은 고딕"/>
          <w:b/>
          <w:bCs/>
          <w:color w:val="2C7A7B"/>
          <w:sz w:val="24"/>
          <w:szCs w:val="24"/>
        </w:rPr>
        <w:t xml:space="preserve">8.2 품질 및 클레임</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오출고·오분류·클레임 발생 시 원인 분석(RCA)과 재발 방지 조치를 시행한다.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반복 오류 유형을 집계·공유하여 예방 조치를 표준에 반영한다.</w:t>
      </w:r>
    </w:p>
    <w:p>
      <w:pPr>
        <w:pStyle w:val="Heading2"/>
        <w:spacing w:after="120" w:before="260"/>
      </w:pPr>
      <w:r>
        <w:rPr>
          <w:rFonts w:ascii="맑은 고딕" w:cs="맑은 고딕" w:eastAsia="맑은 고딕" w:hAnsi="맑은 고딕"/>
          <w:b/>
          <w:bCs/>
          <w:color w:val="2C7A7B"/>
          <w:sz w:val="24"/>
          <w:szCs w:val="24"/>
        </w:rPr>
        <w:t xml:space="preserve">8.3 품질 지표</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지표</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정의</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검수 정확도</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정상 검수 건 / 전체 검수 건</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오출고율</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 건 / 출고 건</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클레임율</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클레임 건 / 처리 건</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9. 재고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로케이션·재고 관리 및 정기 재고 실사(순환 실사 포함)를 시행한다.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차이 발생 시 사유 조사·조정하고 이력을 기록한다.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보충·적치 규칙을 표준화하여 재고 정확도를 유지한다.</w:t>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10. 안전 · 보건 관리</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설비 운행 구역과 보행 통로를 구분하고 안전 표지·속도를 준수한다.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소터·컨베이어 정비 시 전원 차단(LOTO) 후 작업한다.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비상구·소화기·통로를 상시 확보하고 적치물로 막지 않는다.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작업 전 안전 점검 및 개인 보호구(PPE) 착용을 의무화한다.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정기 안전 교육·훈련을 실시하고 이력을 관리한다.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11. 비상 및 예외 대응 (BCP)</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800"/>
        <w:gridCol w:w="5000"/>
        <w:gridCol w:w="2226"/>
      </w:tblGrid>
      <w:tr>
        <w:trPr>
          <w:tblHeader/>
        </w:trPr>
        <w:tc>
          <w:tcPr>
            <w:tcW w:type="dxa" w:w="18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상황</w:t>
            </w:r>
          </w:p>
        </w:tc>
        <w:tc>
          <w:tcPr>
            <w:tcW w:type="dxa" w:w="50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대응 절차</w:t>
            </w:r>
          </w:p>
        </w:tc>
        <w:tc>
          <w:tcPr>
            <w:tcW w:type="dxa" w:w="22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책임자</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시스템 장애</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수기 대체 절차 전환, 복구 후 일괄 반영</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운영관리자</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소터/설비 정지</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정지·구역 통제, 정비 요청, 우회 처리</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 검증 오류 다발</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작업 중단, 원인 격리, 재검증</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물량 폭주</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인력 증원·연장, 우선순위 재조정</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센터장</w:t>
            </w:r>
          </w:p>
        </w:tc>
      </w:tr>
      <w:tr>
        <w:tc>
          <w:tcPr>
            <w:tcW w:type="dxa" w:w="18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항공 마감 임박</w:t>
            </w:r>
          </w:p>
        </w:tc>
        <w:tc>
          <w:tcPr>
            <w:tcW w:type="dxa" w:w="50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우선순위 상향, 인계 라인 집중</w:t>
            </w:r>
          </w:p>
        </w:tc>
        <w:tc>
          <w:tcPr>
            <w:tcW w:type="dxa" w:w="22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분류/번들 리더</w:t>
            </w:r>
          </w:p>
        </w:tc>
      </w:tr>
      <w:tr>
        <w:tc>
          <w:tcPr>
            <w:tcW w:type="dxa" w:w="18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재해/화재</w:t>
            </w:r>
          </w:p>
        </w:tc>
        <w:tc>
          <w:tcPr>
            <w:tcW w:type="dxa" w:w="50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대피 방송, 초기 대응, 119 신고, 인원 점검</w:t>
            </w:r>
          </w:p>
        </w:tc>
        <w:tc>
          <w:tcPr>
            <w:tcW w:type="dxa" w:w="22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안전 담당</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12. 교육 · 5S · 개선</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신규 인력은 프로세스·설비·안전 교육 이수 후 현장 배치한다.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표준 변경 시 재교육을 실시하고 이력을 관리한다.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5S(정리·정돈·청소·청결·습관화)로 작업장·통로·설비 주변을 상시 관리한다.</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개선 제안·오류 사례를 수집하여 표준에 반영하는 개선 체계를 운영한다.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13. 운영 지표(KPI)</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200"/>
        <w:gridCol w:w="4400"/>
        <w:gridCol w:w="2426"/>
      </w:tblGrid>
      <w:tr>
        <w:trPr>
          <w:tblHeader/>
        </w:trPr>
        <w:tc>
          <w:tcPr>
            <w:tcW w:type="dxa" w:w="22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지표</w:t>
            </w:r>
          </w:p>
        </w:tc>
        <w:tc>
          <w:tcPr>
            <w:tcW w:type="dxa" w:w="4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정의(산식)</w:t>
            </w:r>
          </w:p>
        </w:tc>
        <w:tc>
          <w:tcPr>
            <w:tcW w:type="dxa" w:w="24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목표</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인계율</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정시 인계 건 / 인계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리드타임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센터 입고~적치/이송 완료 시간</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당일 처리</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피킹 정확도</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정확 피킹 건 / 피킹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분류 정확도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정확 분류 건 / 분류 건</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번들 검증 오류율</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불일치 건 / 번들 건</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0.1% 이하</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정확도</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실물·전산 일치 / 실사 대상</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99.9% 이상</w:t>
            </w:r>
          </w:p>
        </w:tc>
      </w:tr>
      <w:tr>
        <w:tc>
          <w:tcPr>
            <w:tcW w:type="dxa" w:w="22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시간당 처리량(UPH)</w:t>
            </w:r>
          </w:p>
        </w:tc>
        <w:tc>
          <w:tcPr>
            <w:tcW w:type="dxa" w:w="4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처리 단위 / 인시(man-hour)</w:t>
            </w:r>
          </w:p>
        </w:tc>
        <w:tc>
          <w:tcPr>
            <w:tcW w:type="dxa" w:w="24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표준치 이상</w:t>
            </w:r>
          </w:p>
        </w:tc>
      </w:tr>
      <w:tr>
        <w:tc>
          <w:tcPr>
            <w:tcW w:type="dxa" w:w="22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오출고율</w:t>
            </w:r>
          </w:p>
        </w:tc>
        <w:tc>
          <w:tcPr>
            <w:tcW w:type="dxa" w:w="4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 건 / 출고 건</w:t>
            </w:r>
          </w:p>
        </w:tc>
        <w:tc>
          <w:tcPr>
            <w:tcW w:type="dxa" w:w="24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 이하]</w:t>
            </w:r>
          </w:p>
        </w:tc>
      </w:tr>
    </w:tbl>
    <w:p>
      <w:pPr>
        <w:spacing w:after="120" w:line="288"/>
        <w:jc w:val="both"/>
      </w:pPr>
      <w:r>
        <w:rPr>
          <w:rFonts w:ascii="맑은 고딕" w:cs="맑은 고딕" w:eastAsia="맑은 고딕" w:hAnsi="맑은 고딕"/>
          <w:b w:val="false"/>
          <w:bCs w:val="false"/>
          <w:i/>
          <w:iCs/>
          <w:color w:val="718096"/>
          <w:sz w:val="20"/>
          <w:szCs w:val="20"/>
        </w:rPr>
        <w:t xml:space="preserve">※ 목표치는 센터 실적·물량 특성에 따라 연 1회 재검토한다.</w:t>
      </w:r>
    </w:p>
    <w:p>
      <w:r>
        <w:br w:type="page"/>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A. 일일 운영 체크리스트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[개장 전] 설비 점검(소터·DAS·PTL·DWS·오토라벨러·PDA), 안전 점검, 전일 미처리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[재고 입고] 신청·승인·검수·적치 진척, 보류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[화물 입고] TMS 발송분·WMS 출고 화물 접수 진척, 재라벨 건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[WMS 출고] 출하지시 진척, 피킹 방식별 물량, 검수 예외 확인.</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[분류·번들] 소터 분류 정확도, MAWB·Route 검증 오류 건 점검.</w:t>
      </w:r>
    </w:p>
    <w:p>
      <w:pPr>
        <w:pStyle w:val="ListParagraph"/>
        <w:numPr>
          <w:ilvl w:val="0"/>
          <w:numId w:val="2"/>
        </w:numPr>
        <w:spacing w:after="60" w:line="276"/>
      </w:pPr>
      <w:r>
        <w:rPr>
          <w:rFonts w:ascii="맑은 고딕" w:cs="맑은 고딕" w:eastAsia="맑은 고딕" w:hAnsi="맑은 고딕"/>
          <w:b w:val="false"/>
          <w:bCs w:val="false"/>
          <w:i w:val="false"/>
          <w:iCs w:val="false"/>
          <w:color w:val="1F2933"/>
          <w:sz w:val="20"/>
          <w:szCs w:val="20"/>
        </w:rPr>
        <w:t xml:space="preserve">[마감] 인계 완료(해외/국내), 데이터 대사, 익일 물량·인력 계획 수립.</w:t>
      </w:r>
    </w:p>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B. 설비 점검 주기표</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1500"/>
        <w:gridCol w:w="2600"/>
        <w:gridCol w:w="2400"/>
        <w:gridCol w:w="2526"/>
      </w:tblGrid>
      <w:tr>
        <w:trPr>
          <w:tblHeader/>
        </w:trPr>
        <w:tc>
          <w:tcPr>
            <w:tcW w:type="dxa" w:w="15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설비</w:t>
            </w:r>
          </w:p>
        </w:tc>
        <w:tc>
          <w:tcPr>
            <w:tcW w:type="dxa" w:w="26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일상(개장 전)</w:t>
            </w:r>
          </w:p>
        </w:tc>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주간</w:t>
            </w:r>
          </w:p>
        </w:tc>
        <w:tc>
          <w:tcPr>
            <w:tcW w:type="dxa" w:w="25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월간</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물류 소터</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구동·센서·슈트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벨트·롤러 점검</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점검·청소</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DAS/PTL</w:t>
            </w:r>
          </w:p>
        </w:tc>
        <w:tc>
          <w:tcPr>
            <w:tcW w:type="dxa" w:w="2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표시기 점등 확인</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배선·표시기 점검</w:t>
            </w:r>
          </w:p>
        </w:tc>
        <w:tc>
          <w:tcPr>
            <w:tcW w:type="dxa" w:w="25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정합성 점검</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DWS</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영점·측정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캘리브레이션 확인</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캘리브레이션</w:t>
            </w:r>
          </w:p>
        </w:tc>
      </w:tr>
      <w:tr>
        <w:tc>
          <w:tcPr>
            <w:tcW w:type="dxa" w:w="15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오토라벨러</w:t>
            </w:r>
          </w:p>
        </w:tc>
        <w:tc>
          <w:tcPr>
            <w:tcW w:type="dxa" w:w="26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라벨·부착 확인</w:t>
            </w:r>
          </w:p>
        </w:tc>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헤드·센서 점검</w:t>
            </w:r>
          </w:p>
        </w:tc>
        <w:tc>
          <w:tcPr>
            <w:tcW w:type="dxa" w:w="25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정밀 점검</w:t>
            </w:r>
          </w:p>
        </w:tc>
      </w:tr>
      <w:tr>
        <w:tc>
          <w:tcPr>
            <w:tcW w:type="dxa" w:w="15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PDA</w:t>
            </w:r>
          </w:p>
        </w:tc>
        <w:tc>
          <w:tcPr>
            <w:tcW w:type="dxa" w:w="26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배터리·통신 확인</w:t>
            </w:r>
          </w:p>
        </w:tc>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충전 거치대 점검</w:t>
            </w:r>
          </w:p>
        </w:tc>
        <w:tc>
          <w:tcPr>
            <w:tcW w:type="dxa" w:w="25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단말 상태 점검</w:t>
            </w:r>
          </w:p>
        </w:tc>
      </w:tr>
    </w:tbl>
    <w:p>
      <w:pPr>
        <w:pStyle w:val="Heading1"/>
        <w:pBdr>
          <w:bottom w:val="single" w:color="1B4965" w:sz="12" w:space="6"/>
        </w:pBdr>
        <w:spacing w:after="160" w:before="360"/>
      </w:pPr>
      <w:r>
        <w:rPr>
          <w:rFonts w:ascii="맑은 고딕" w:cs="맑은 고딕" w:eastAsia="맑은 고딕" w:hAnsi="맑은 고딕"/>
          <w:b/>
          <w:bCs/>
          <w:color w:val="1B4965"/>
          <w:sz w:val="30"/>
          <w:szCs w:val="30"/>
        </w:rPr>
        <w:t xml:space="preserve">부록 C. 주요 양식 목록</w:t>
      </w:r>
    </w:p>
    <w:tbl>
      <w:tblPr>
        <w:tblW w:type="dxa" w:w="9026"/>
        <w:tblBorders>
          <w:top w:val="single" w:color="9AA5B1" w:sz="4"/>
          <w:left w:val="single" w:color="9AA5B1" w:sz="4"/>
          <w:bottom w:val="single" w:color="9AA5B1" w:sz="4"/>
          <w:right w:val="single" w:color="9AA5B1" w:sz="4"/>
          <w:insideH w:val="single" w:color="9AA5B1" w:sz="2"/>
          <w:insideV w:val="single" w:color="9AA5B1" w:sz="2"/>
        </w:tblBorders>
      </w:tblPr>
      <w:tblGrid>
        <w:gridCol w:w="2400"/>
        <w:gridCol w:w="6626"/>
      </w:tblGrid>
      <w:tr>
        <w:trPr>
          <w:tblHeader/>
        </w:trPr>
        <w:tc>
          <w:tcPr>
            <w:tcW w:type="dxa" w:w="2400"/>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양식</w:t>
            </w:r>
          </w:p>
        </w:tc>
        <w:tc>
          <w:tcPr>
            <w:tcW w:type="dxa" w:w="6626"/>
            <w:shd w:fill="1B4965" w:color="auto" w:val="clear"/>
            <w:tcMar>
              <w:top w:type="dxa" w:w="60"/>
              <w:left w:type="dxa" w:w="100"/>
              <w:bottom w:type="dxa" w:w="60"/>
              <w:right w:type="dxa" w:w="100"/>
            </w:tcMar>
          </w:tcPr>
          <w:p>
            <w:pPr>
              <w:spacing w:after="0" w:line="264"/>
              <w:jc w:val="center"/>
            </w:pPr>
            <w:r>
              <w:rPr>
                <w:rFonts w:ascii="맑은 고딕" w:cs="맑은 고딕" w:eastAsia="맑은 고딕" w:hAnsi="맑은 고딕"/>
                <w:b/>
                <w:bCs/>
                <w:color w:val="FFFFFF"/>
                <w:sz w:val="18"/>
                <w:szCs w:val="18"/>
              </w:rPr>
              <w:t xml:space="preserve">용도</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입고 검수 기록서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재고/화물 입고 검수 결과 기록</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조정 기록서</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재고 차이 사유·조정 기록</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교대 인수인계서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미처리·특이사항 인계</w:t>
            </w:r>
          </w:p>
        </w:tc>
      </w:tr>
      <w:tr>
        <w:tc>
          <w:tcPr>
            <w:tcW w:type="dxa" w:w="2400"/>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설비 점검表</w:t>
            </w:r>
          </w:p>
        </w:tc>
        <w:tc>
          <w:tcPr>
            <w:tcW w:type="dxa" w:w="6626"/>
            <w:shd w:fill="EDF2F7"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일상·정기 점검 기록</w:t>
            </w:r>
          </w:p>
        </w:tc>
      </w:tr>
      <w:tr>
        <w:tc>
          <w:tcPr>
            <w:tcW w:type="dxa" w:w="2400"/>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이상/클레임 보고서</w:t>
            </w:r>
          </w:p>
        </w:tc>
        <w:tc>
          <w:tcPr>
            <w:tcW w:type="dxa" w:w="6626"/>
            <w:shd w:fill="FFFFFF" w:color="auto" w:val="clear"/>
            <w:tcMar>
              <w:top w:type="dxa" w:w="60"/>
              <w:left w:type="dxa" w:w="100"/>
              <w:bottom w:type="dxa" w:w="60"/>
              <w:right w:type="dxa" w:w="100"/>
            </w:tcMar>
          </w:tcPr>
          <w:p>
            <w:pPr>
              <w:spacing w:after="0" w:line="264"/>
              <w:jc w:val="left"/>
            </w:pPr>
            <w:r>
              <w:rPr>
                <w:rFonts w:ascii="맑은 고딕" w:cs="맑은 고딕" w:eastAsia="맑은 고딕" w:hAnsi="맑은 고딕"/>
                <w:b w:val="false"/>
                <w:bCs w:val="false"/>
                <w:color w:val="1F2933"/>
                <w:sz w:val="18"/>
                <w:szCs w:val="18"/>
              </w:rPr>
              <w:t xml:space="preserve">오출고·오분류·클레임 원인·조치</w:t>
            </w:r>
          </w:p>
        </w:tc>
      </w:tr>
    </w:tbl>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AA5B1"/>
        <w:sz w:val="16"/>
        <w:szCs w:val="16"/>
      </w:rPr>
      <w:t xml:space="preserve">- </w:t>
    </w:r>
    <w:r>
      <w:rPr>
        <w:rFonts w:ascii="맑은 고딕" w:cs="맑은 고딕" w:eastAsia="맑은 고딕" w:hAnsi="맑은 고딕"/>
        <w:color w:val="9AA5B1"/>
        <w:sz w:val="16"/>
        <w:szCs w:val="16"/>
      </w:rPr>
      <w:fldChar w:fldCharType="begin"/>
      <w:instrText xml:space="preserve">PAGE</w:instrText>
      <w:fldChar w:fldCharType="separate"/>
      <w:fldChar w:fldCharType="end"/>
    </w:r>
    <w:r>
      <w:rPr>
        <w:rFonts w:ascii="맑은 고딕" w:cs="맑은 고딕" w:eastAsia="맑은 고딕" w:hAnsi="맑은 고딕"/>
        <w:color w:val="9AA5B1"/>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AA5B1"/>
        <w:sz w:val="16"/>
        <w:szCs w:val="16"/>
      </w:rPr>
      <w:t xml:space="preserve">- </w:t>
    </w:r>
    <w:r>
      <w:rPr>
        <w:rFonts w:ascii="맑은 고딕" w:cs="맑은 고딕" w:eastAsia="맑은 고딕" w:hAnsi="맑은 고딕"/>
        <w:color w:val="9AA5B1"/>
        <w:sz w:val="16"/>
        <w:szCs w:val="16"/>
      </w:rPr>
      <w:fldChar w:fldCharType="begin"/>
      <w:instrText xml:space="preserve">PAGE</w:instrText>
      <w:fldChar w:fldCharType="separate"/>
      <w:fldChar w:fldCharType="end"/>
    </w:r>
    <w:r>
      <w:rPr>
        <w:rFonts w:ascii="맑은 고딕" w:cs="맑은 고딕" w:eastAsia="맑은 고딕" w:hAnsi="맑은 고딕"/>
        <w:color w:val="9AA5B1"/>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A5B1" w:sz="4" w:space="4"/>
      </w:pBdr>
      <w:jc w:val="right"/>
    </w:pPr>
    <w:r>
      <w:rPr>
        <w:rFonts w:ascii="맑은 고딕" w:cs="맑은 고딕" w:eastAsia="맑은 고딕" w:hAnsi="맑은 고딕"/>
        <w:color w:val="9AA5B1"/>
        <w:sz w:val="16"/>
        <w:szCs w:val="16"/>
      </w:rPr>
      <w:t xml:space="preserve">물류센터 운영 매뉴얼</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20" w:hanging="240"/>
      </w:pPr>
    </w:lvl>
  </w:abstractNum>
  <w:abstractNum w:abstractNumId="3" w15:restartNumberingAfterBreak="0">
    <w:multiLevelType w:val="hybridMultilevel"/>
    <w:lvl w:ilvl="0" w15:tentative="1">
      <w:start w:val="1"/>
      <w:numFmt w:val="decimal"/>
      <w:lvlText w:val="%1."/>
      <w:lvlJc w:val="left"/>
      <w:pPr>
        <w:ind w:left="460" w:hanging="260"/>
      </w:pPr>
    </w:lvl>
    <w:lvl w:ilvl="1" w15:tentative="1">
      <w:start w:val="1"/>
      <w:numFmt w:val="lowerLetter"/>
      <w:lvlText w:val="%2)"/>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5211035d82623a608e79867fd3e8c9c043b49c70.png"/><Relationship Id="rId11" Type="http://schemas.openxmlformats.org/officeDocument/2006/relationships/image" Target="media/a7b68ac545efd894abfc5d9ef4e9af4f60668858.png"/><Relationship Id="rId12" Type="http://schemas.openxmlformats.org/officeDocument/2006/relationships/fontTable" Target="fontTable.xml"/><Relationship Id="rId13"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물류센터 운영 매뉴얼</dc:title>
  <dc:creator>물류센터 기술문서 자동생성</dc:creator>
  <cp:lastModifiedBy>Un-named</cp:lastModifiedBy>
  <cp:revision>1</cp:revision>
  <dcterms:created xsi:type="dcterms:W3CDTF">2026-07-14T02:00:21.299Z</dcterms:created>
  <dcterms:modified xsi:type="dcterms:W3CDTF">2026-07-14T02:00:21.299Z</dcterms:modified>
</cp:coreProperties>
</file>

<file path=docProps/custom.xml><?xml version="1.0" encoding="utf-8"?>
<Properties xmlns="http://schemas.openxmlformats.org/officeDocument/2006/custom-properties" xmlns:vt="http://schemas.openxmlformats.org/officeDocument/2006/docPropsVTypes"/>
</file>