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(6/10)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품질·안전·환경관리 매뉴얼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※ 보유한 경우에만 제출 (ISO 등으로 갈음 가능)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2026년 10월 31일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1. 품질관리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입고/출고 검수 기준, 오류율(오출고·파손) 관리 지표와 개선활동, 클레임·반품 처리 절차.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1.1 검수·검품 기준 및 절차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1.2 오류율 관리 지표(KPI)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1.3 클레임·반품 처리 프로세스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2. 안전관리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방화·내진·소방·대피시설 현황, 안전사고 예방·대응 절차, 안전교육 및 점검 이력.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2.1 소방·방화·대피 시설 현황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2.2 안전사고 예방·대응 절차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2.3 안전교육·점검 이력</w:t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3. 환경관리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절수·절전·조명(LED), 폐기물·포장재 재활용, 친환경 설비 도입 등 활동과 실적.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3.1 에너지 절감(절전·조명)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3.2 폐기물·포장재 재활용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algun Gothic" w:cs="Malgun Gothic" w:eastAsia="Malgun Gothic" w:hAnsi="Malgun Gothic"/>
          <w:sz w:val="21"/>
          <w:szCs w:val="21"/>
        </w:rPr>
        <w:t xml:space="preserve">3.3 친환경 설비·활동 실적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보유 인증 현황</w:t>
            </w:r>
          </w:p>
        </w:tc>
        <w:tc>
          <w:tcPr>
            <w:tcW w:type="dxa" w:w="6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(예: ISO 9001 / ISO 14001 / ISO 45001 / 기타) [                    ]</w:t>
            </w:r>
          </w:p>
        </w:tc>
      </w:tr>
    </w:tbl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06 품질·안전·환경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2026-07-09T03:33:28.434Z</dcterms:created>
  <dcterms:modified xsi:type="dcterms:W3CDTF">2026-07-09T03:33:28.434Z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