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>②-1 자체평가서 및 증명자료 (총 75쪽), 기준일자 2026.10.31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p.7~8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p.9~10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4] SW(WMS) 공정별 인원관리(QR, 시범 운영 중)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5] SW(WMS) 공정별 인원관리(QR, 시범 운영 중)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p.11~12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p.13~14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p.15~17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p.18~19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p.20~21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p.24~25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p.28~29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p.31~32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p.33~34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p.36~37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p.42~43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p.46~47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p.49~50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p.51~52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p.53~54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p.58~60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4] SW(WMS) 공정별 인원관리(QR, 시범 운영 중) – 공정별 현재 투입 인원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p.62~63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1] SW(WMS) 작업자 추적(QR, 시범 운영 중) – 공정별·인원별 작업자 수·처리량·작업시간 집계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>[사진 2] 월별 UPH 실적표(2025.11~2026.10) – 공정별 출고 박스÷투입 인시, 풀필먼트 UPH 19.3→27.6(약 43% 향상)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p.64~65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p.67~68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p.69~70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p.73~74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>p.75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