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26"/>
          <w:szCs w:val="26"/>
        </w:rPr>
        <w:t xml:space="preserve">이커머스 풀필먼트 센터</w:t>
      </w:r>
    </w:p>
    <w:p>
      <w:pPr>
        <w:pBdr>
          <w:bottom w:val="single" w:color="1B4965" w:sz="18" w:space="14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1B4965"/>
          <w:sz w:val="52"/>
          <w:szCs w:val="52"/>
        </w:rPr>
        <w:t xml:space="preserve">업무·시스템 연계기술서</w:t>
      </w:r>
    </w:p>
    <w:p>
      <w:pPr>
        <w:spacing w:after="1600" w:before="200"/>
        <w:jc w:val="center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트랙스로지스 영종센터 · Business–System Integration Specification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회사명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트랙스로지스코리아(주) (TracX Logis Korea)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센터명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영종센터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소재지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인천광역시 중구 영종순환로900번길 30, 3층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문서번호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TRX-IF-2026-01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버전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v2.0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작성일  2026-10-31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분류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대외 제출용 / 스마트물류센터 인증</w:t>
      </w:r>
    </w:p>
    <w:p>
      <w:r>
        <w:br w:type="page"/>
      </w:r>
    </w:p>
    <w:p>
      <w:pPr>
        <w:spacing w:after="260"/>
      </w:pPr>
      <w:r>
        <w:rPr>
          <w:rFonts w:ascii="맑은 고딕" w:cs="맑은 고딕" w:eastAsia="맑은 고딕" w:hAnsi="맑은 고딕"/>
          <w:b/>
          <w:bCs/>
          <w:color w:val="1B4965"/>
          <w:sz w:val="32"/>
          <w:szCs w:val="32"/>
        </w:rPr>
        <w:t xml:space="preserve">목  차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1.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2. 연계 대상 및 아키텍처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3. 연계 방식 및 설계 원칙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4. 처리 유형별 연계 구조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6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5. 업무 단계별 연계 상세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6. 인터페이스 명세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7. 데이터 표준 및 코드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8. 예외 및 오류 처리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9. 연계 운영 관리 및 SLA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A. 인터페이스 목록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B. 오류 코드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13</w:t>
      </w:r>
    </w:p>
    <w:p>
      <w:r>
        <w:br w:type="page"/>
      </w:r>
    </w:p>
    <w:p>
      <w:pPr>
        <w:sectPr>
          <w:footerReference w:type="default" r:id="rId7"/>
          <w:headerReference w:type="default" r:id="rId12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1.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1.1 목적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트랙스로지스 영종센터의 물류 업무 프로세스와 이를 지원하는 자체개발 정보시스템(Smartship·SW·TLPS) 및 자동화 설비·PDA 간의 연계 구조, 데이터 흐름, 인터페이스 명세, 데이터 표준, 예외 처리, 운영 관리 기준을 정의한다. 재고형(WMS 건)과 셀러 발송분(TMS 건)이 각 단계에서 어떤 시스템·설비를 통해 처리되고 데이터가 어떻게 전달·정합되는지를 명확히 하여 연계 오류와 데이터 불일치를 방지하는 것을 목적으로 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1.2 범위 및 관점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문서는 업무 프로세스를 기준축으로, 각 단계의 트리거·발신·수신·연계 방식·주요 데이터·정합성 기준을 기술한다. 시스템 내부 로직보다 시스템 경계를 넘나드는 상호작용에 초점을 둔다. 상세 화면·기능은 「물류정보시스템 기술서」를, 현장 작업 절차는 「운영 매뉴얼」을 따른다.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1.3 처리 유형 요약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재고 입고(주문 무관·독립): 재고 신청 → 승인 → 셀러 발송 → 입고 검수 → 재고 적치·보관.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화물 입고(합침): TMS 셀러 발송분 + WMS 출고 화물이 공통의 화물 입고 작업을 거쳐 물류 소터로.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공통 후단: 소터 분류 → 번들 작업(MAWB·번들팩·Route 검증) → 번들팩 패킹 → 조업사·택배사 인계.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2. 연계 대상 및 아키텍처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2.1 연계 대상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3600"/>
        <w:gridCol w:w="34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시스템/설비</w:t>
            </w:r>
          </w:p>
        </w:tc>
        <w:tc>
          <w:tcPr>
            <w:tcW w:type="dxa" w:w="3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성격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(OMS)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수집·검증·할당·출하지시·재고 신청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오케스트레이터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(WMS)</w:t>
            </w:r>
          </w:p>
        </w:tc>
        <w:tc>
          <w:tcPr>
            <w:tcW w:type="dxa" w:w="3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입고·적치·피킹·검수·패킹·출고·분류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창고 실행 핵심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 (TMS)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접수·운송·인계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운송 연계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>3D Sorter·PTL·DWS·물류 소터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설비 연계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피킹·검수·번들 검증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현장 스캔 단말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채널/셀러</w:t>
            </w:r>
          </w:p>
        </w:tc>
        <w:tc>
          <w:tcPr>
            <w:tcW w:type="dxa" w:w="3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 신청 원천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 수집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조업사/택배사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항공(해외)·택배(국내) 인계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 인계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2.2 연계 흐름 개요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31510" cy="35565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6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color w:val="404040"/>
          <w:sz w:val="16"/>
          <w:szCs w:val="16"/>
        </w:rPr>
        <w:t xml:space="preserve">[그림 2-1] 업무·시스템 연계 흐름도(WMS 건·TMS 건 통합)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2.3 연계 원천-소유 시스템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데이터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원천(소유) 시스템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참조 시스템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주문·수취인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SW, TLPS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작업(피킹·검수)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번들팩·MAWB·Route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조업사/택배사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기준정보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Smartship(마스터)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SW, TLPS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3. 연계 방식 및 설계 원칙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3.1 연계 유형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4000"/>
        <w:gridCol w:w="34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4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예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API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요청-응답 동기 연계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출하지시, 재고 조회, 재고 신청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스캔 연계</w:t>
            </w:r>
          </w:p>
        </w:tc>
        <w:tc>
          <w:tcPr>
            <w:tcW w:type="dxa" w:w="4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PDA·설비 이벤트 실시간 반영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피킹·검수·번들 검증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 연계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변동 발행-구독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확정, 분류 결과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배치</w:t>
            </w:r>
          </w:p>
        </w:tc>
        <w:tc>
          <w:tcPr>
            <w:tcW w:type="dxa" w:w="4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대량·정산 데이터 일괄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정산·대사·통계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3.2 설계 원칙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멱등성: 동일 스캔·메시지 재수신 시 고유 키 기준으로 중복 처리 방지.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소유권: 데이터별 원천 시스템 지정, 단방향 갱신 원칙.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정합성: 재고·분류·인계 상태를 대사(reconciliation)로 잔차 검출·보정.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추적성: 주문·출하지시·번들팩·MAWB·Route 식별자로 종단 간 추적.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격리: 상위 연계 단절 시 현장 작업 지속(로컬 큐·재처리).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3.3 재시도 · 타임아웃 · 정합성 정책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정책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타임아웃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동기 API 표준 타임아웃 설정, 초과 시 실패 처리 후 재시도 큐 적재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재시도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지수 백오프 방식으로 제한 횟수 재시도, 초과 시 오류 큐·알람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멱등키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출하지시·번들 검증 등 핵심 연계에 멱등키 부여로 중복 방지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순서 보장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전이 이벤트는 순서·버전 관리로 역전 방지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대사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마감 시 재고·분류·인계 데이터 대사로 잔차 검출·보정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4. 처리 유형별 연계 구조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4.1 재고 입고 (WMS · 주문 무관)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셀러가 Smartship에서 재고 신청을 하면 창고(SW)가 승인하고, 셀러가 물품을 발송(택배·용차·자체)하면 센터가 입고·검수 후 재고를 적치한다. 이 흐름은 고객 주문과 무관하며 재고 적치·보관에서 종료된다.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4.2 WMS 출고 (재고형 · 주문 기반)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>Smartship이 주문을 수집·검증하고 재고를 할당하여 SW로 출하지시를 전달한다. SW는 피킹리스트를 생성하고 설비(PTL·3D Sorter 등)와 연계해 피킹·검수·패킹·출고를 수행한 뒤, 출고 화물을 화물 입고 작업으로 넘긴다.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4.3 TMS 셀러 발송분 (주문 기반)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Smartship에서 셀러가 주문을 확인·라벨을 출력하여 물품을 센터로 발송한다. 센터는 이를 화물 입고 작업(DWS/오토라벨러)으로 접수하고, TLPS와 연계한다.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4.4 공통 후단 (화물 입고 작업 → 인계)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WMS 출고 화물과 TMS 셀러 발송분은 공통의 화물 입고 작업을 거쳐 물류 소터로 유입된다. 소터 분류 후 번들 작업에서 PDA 스캔으로 MAWB·번들팩·Route를 검증하고, 번들팩을 패킹하여 조업사(해외)·택배사(국내)로 인계한다.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5. 업무 단계별 연계 상세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5.1 재고 입고 (WMS)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700"/>
        <w:gridCol w:w="1500"/>
        <w:gridCol w:w="1600"/>
        <w:gridCol w:w="1500"/>
        <w:gridCol w:w="2726"/>
      </w:tblGrid>
      <w:tr>
        <w:trPr>
          <w:tblHeader/>
        </w:trPr>
        <w:tc>
          <w:tcPr>
            <w:tcW w:type="dxa" w:w="17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화면/API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상품, 수량, 입고 예정</w:t>
            </w:r>
          </w:p>
        </w:tc>
      </w:tr>
      <w:tr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신청 승인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창고(SW)</w:t>
            </w:r>
          </w:p>
        </w:tc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승인 여부, 입고 슬롯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센터(물리)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택배/용차/자체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발송 물품</w:t>
            </w:r>
          </w:p>
        </w:tc>
      </w:tr>
      <w:tr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 검수·적치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SW/Smartship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 결과, 적치 로케이션, 재고 증가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5.2 주문 수집·할당 (WMS 출고)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500"/>
        <w:gridCol w:w="1300"/>
        <w:gridCol w:w="28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채널/셀러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API/업로드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주문·수취인·수량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주문, SKU, 수량, 우선순위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 생성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SW/설비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 방식, 로케이션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5.3 피킹·검수·패킹·출고 (WMS 출고)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500"/>
        <w:gridCol w:w="1300"/>
        <w:gridCol w:w="28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>총량피킹 분류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>3D Sorter·PTL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>주문별 분류 지시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 지시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PTL/PDA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로케이션·수량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검수·패킹 완료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PDA/SW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 결과, 패킹 정보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완료, 재고 차감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5.4 TMS 셀러 발송분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600"/>
        <w:gridCol w:w="1400"/>
        <w:gridCol w:w="26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확인·라벨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API/화면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주문, 라벨 정보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센터 발송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센터(물리)</w:t>
            </w:r>
          </w:p>
        </w:tc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택배 등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발송 화물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5.5 화물 입고 작업 (공통)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900"/>
        <w:gridCol w:w="1400"/>
        <w:gridCol w:w="1300"/>
        <w:gridCol w:w="25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5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접수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DWS/오토라벨러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사이즈·무게, 라벨, 접수 확인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 이송</w:t>
            </w:r>
          </w:p>
        </w:tc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5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로직·Route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5.6 물류 소터 분류 (공통)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700"/>
        <w:gridCol w:w="1500"/>
        <w:gridCol w:w="1300"/>
        <w:gridCol w:w="26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7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지시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로직·Route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결과</w:t>
            </w:r>
          </w:p>
        </w:tc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완료, 슈트 배정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5.7 번들 작업·검증·인계 (공통)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700"/>
        <w:gridCol w:w="1200"/>
        <w:gridCol w:w="27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7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검증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MAWB·번들팩·Route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 패킹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 확정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조업사/택배사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인계/API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번들팩, 목적지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6. 인터페이스 명세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6.1 IF-001 재고 신청·승인 (Smartship ↔ SW)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200"/>
        <w:gridCol w:w="1100"/>
        <w:gridCol w:w="37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stockReqNo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 번호(멱등키)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sellerId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식별자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sku / qty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 / Number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품목·수량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approveYn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승인/반려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inboundSlot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 예정 슬롯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6.2 IF-002 출하지시 (Smartship → SW)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200"/>
        <w:gridCol w:w="1100"/>
        <w:gridCol w:w="37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orderNo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식별자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shipOrderNo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 키(멱등키)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orderType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 건 / TMS 건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sku / qty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 / Number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품목·수량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Route(해외/국내 구분 포함)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receiver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Object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수취인 정보(개인정보)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6.3 IF-004 출고 확정 (SW → Smartship)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000"/>
        <w:gridCol w:w="1100"/>
        <w:gridCol w:w="39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9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shipOrderNo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 키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status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완료/부분/실패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shippedQty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Number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수량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shipTime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시각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6.4 IF-005 화물 입고 접수 (DWS/오토라벨러 → SW/TLPS)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000"/>
        <w:gridCol w:w="1100"/>
        <w:gridCol w:w="39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9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cargoId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식별자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source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 발송분 / WMS 출고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dimWeight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Object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사이즈·무게(DWS)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labelResult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라벨 확인/재부착(오토라벨러)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scanTime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접수 시각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6.5 IF-006 번들 검증 (PDA → SW/TLPS)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000"/>
        <w:gridCol w:w="1100"/>
        <w:gridCol w:w="39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9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 항공 운송장 번호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bundleNo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 번호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 코드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scanResult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성공/불일치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scanTime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시각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필드·타입은 대표 예시이며, 실제 스펙은 인터페이스 정의서에 따라 확정.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7. 데이터 표준 및 코드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7.1 공통 코드(예시)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3800"/>
        <w:gridCol w:w="34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 그룹</w:t>
            </w:r>
          </w:p>
        </w:tc>
        <w:tc>
          <w:tcPr>
            <w:tcW w:type="dxa" w:w="3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값(예시)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유형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 / TMS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 / 셀러 발송분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상태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등록/할당/피킹/검수/패킹/출고/분류/번들/인계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전이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 / 해외(항공)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목적지 구분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 유형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 / 화물 입고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적치 대상 / 소터 대상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7.2 식별자 체계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주문번호·출하지시번호·번들팩번호·MAWB를 종단 추적 키로 사용한다.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멱등키(출하지시·번들 검증 등)로 중복 연계를 방지한다.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8. 예외 및 오류 처리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8.1 오류 유형 및 처리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예시</w:t>
            </w:r>
          </w:p>
        </w:tc>
        <w:tc>
          <w:tcPr>
            <w:tcW w:type="dxa" w:w="4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처리 원칙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불일치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MAWB·번들팩·Route 불일치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작업 중단, 재검증, 알람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오류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필수값 누락, 코드 불일치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거절 + 오류 큐 + 알람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중복 수신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동일 스캔 재전송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멱등키로 중복 제거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이상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>소터·PTL 오류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안전 정지, 수기 대체, 정비 요청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부족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할당 시 가용재고 미달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부분 할당/보류, Smartship 통지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지연·단절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타임아웃, 네트워크 단절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재시도 큐, 복구 후 재처리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8.2 오류 처리 흐름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오류 감지 → 분류(유형·등급) → 오류 큐 적재.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자동 재처리(재시도 정책) 또는 담당자 알람.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원인 조치 후 재처리, 대사로 정합성 확인.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9. 연계 운영 관리 및 SLA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9.1 모니터링 및 대사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연계 성공률·지연·오류 큐를 대시보드로 관제한다.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일 마감 시 재고·분류·인계 데이터를 대사하여 잔차를 검출·보정한다.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9.2 변경 및 버전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인터페이스 스펙을 버전 관리하고 하위 호환을 유지한다.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스펙 변경 시 영향도 분석·배포 승인·롤백 절차를 적용한다.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9.3 보안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연계 구간 인증, 개인정보 필드 암호화·마스킹, 접근 로깅.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9.4 연계 SLA(목표)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연계 성공률</w:t>
            </w:r>
          </w:p>
        </w:tc>
        <w:tc>
          <w:tcPr>
            <w:tcW w:type="dxa" w:w="6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</w:tr>
      <w:tr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연계 지연</w:t>
            </w:r>
          </w:p>
        </w:tc>
        <w:tc>
          <w:tcPr>
            <w:tcW w:type="dxa" w:w="6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 초 이내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오류 큐 처리</w:t>
            </w:r>
          </w:p>
        </w:tc>
        <w:tc>
          <w:tcPr>
            <w:tcW w:type="dxa" w:w="6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발생 건 당일 처리</w:t>
            </w:r>
          </w:p>
        </w:tc>
      </w:tr>
      <w:tr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대사 잔차</w:t>
            </w:r>
          </w:p>
        </w:tc>
        <w:tc>
          <w:tcPr>
            <w:tcW w:type="dxa" w:w="6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0(마감 기준)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SLA 목표는 연계 실적에 따라 연 1회 재검토한다.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A. 인터페이스 목록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400"/>
        <w:gridCol w:w="3200"/>
        <w:gridCol w:w="22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IF번호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3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발신→수신</w:t>
            </w:r>
          </w:p>
        </w:tc>
        <w:tc>
          <w:tcPr>
            <w:tcW w:type="dxa" w:w="2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IF-001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신청·승인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Smartship↔SW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IF-002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Smartship→SW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IF-003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 결과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PDA/설비→SW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스캔/실시간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IF-004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SW→Smartship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IF-005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접수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DWS/오토라벨러→SW/TLPS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IF-006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검증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PDA→SW/TLPS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IF-007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TLPS→조업사/택배사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인계/API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B. 오류 코드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E1xx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오류</w:t>
            </w:r>
          </w:p>
        </w:tc>
        <w:tc>
          <w:tcPr>
            <w:tcW w:type="dxa" w:w="5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필수값·코드·형식 오류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E2xx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오류</w:t>
            </w:r>
          </w:p>
        </w:tc>
        <w:tc>
          <w:tcPr>
            <w:tcW w:type="dxa" w:w="5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부족·불일치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E3xx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오류</w:t>
            </w:r>
          </w:p>
        </w:tc>
        <w:tc>
          <w:tcPr>
            <w:tcW w:type="dxa" w:w="5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>소터·PTL·DWS 이상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E4xx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오류</w:t>
            </w:r>
          </w:p>
        </w:tc>
        <w:tc>
          <w:tcPr>
            <w:tcW w:type="dxa" w:w="5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타임아웃·단절·중복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E5xx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불일치</w:t>
            </w:r>
          </w:p>
        </w:tc>
        <w:tc>
          <w:tcPr>
            <w:tcW w:type="dxa" w:w="5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MAWB·번들팩·Route 불일치</w:t>
            </w:r>
          </w:p>
        </w:tc>
      </w:tr>
    </w:tbl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A5B1" w:sz="4" w:space="4"/>
      </w:pBdr>
      <w:jc w:val="right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물류센터 업무·시스템 연계기술서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  <w:lvl w:ilvl="1" w15:tentative="1">
      <w:start w:val="1"/>
      <w:numFmt w:val="lowerLetter"/>
      <w:lvlText w:val="%2)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d27965d80b44b54629cb8ab29146bb68e122ffb3.png"/><Relationship Id="rId11" Type="http://schemas.openxmlformats.org/officeDocument/2006/relationships/fontTable" Target="fontTable.xml"/><Relationship Id="rId12" Type="http://schemas.openxmlformats.org/officeDocument/2006/relationships/header" Target="header2.xml"/><Relationship Id="rId1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물류센터 업무·시스템 연계기술서</dc:title>
  <dc:creator>물류센터 기술문서 자동생성</dc:creator>
  <cp:lastModifiedBy>Un-named</cp:lastModifiedBy>
  <cp:revision>1</cp:revision>
  <dcterms:created xsi:type="dcterms:W3CDTF">2026-07-14T02:00:20.774Z</dcterms:created>
  <dcterms:modified xsi:type="dcterms:W3CDTF">2026-07-14T02:00:20.774Z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