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B24165">
      <w:pPr>
        <w:pStyle w:val="23"/>
        <w:keepNext w:val="0"/>
        <w:keepLines w:val="0"/>
        <w:pageBreakBefore w:val="0"/>
        <w:widowControl/>
        <w:kinsoku/>
        <w:wordWrap/>
        <w:overflowPunct/>
        <w:topLinePunct w:val="0"/>
        <w:autoSpaceDE/>
        <w:autoSpaceDN/>
        <w:bidi w:val="0"/>
        <w:adjustRightInd/>
        <w:snapToGrid/>
        <w:spacing w:before="60" w:after="180"/>
        <w:jc w:val="center"/>
        <w:textAlignment w:val="auto"/>
        <w:rPr>
          <w:rFonts w:hint="default" w:ascii="Times New Roman" w:hAnsi="Times New Roman" w:cs="Times New Roman"/>
          <w:b/>
          <w:bCs/>
          <w:i w:val="0"/>
          <w:iCs w:val="0"/>
          <w:color w:val="auto"/>
          <w:sz w:val="28"/>
          <w:szCs w:val="28"/>
        </w:rPr>
      </w:pPr>
      <w:r>
        <w:rPr>
          <w:rFonts w:hint="default" w:ascii="Times New Roman" w:hAnsi="Times New Roman" w:cs="Times New Roman"/>
          <w:b/>
          <w:bCs/>
          <w:i w:val="0"/>
          <w:iCs w:val="0"/>
          <w:color w:val="auto"/>
          <w:sz w:val="28"/>
          <w:szCs w:val="28"/>
        </w:rPr>
        <w:t>COMP5355 Project – Preliminary System Design Proposal</w:t>
      </w:r>
    </w:p>
    <w:p w14:paraId="27C39EBD">
      <w:pPr>
        <w:pStyle w:val="23"/>
        <w:keepNext w:val="0"/>
        <w:keepLines w:val="0"/>
        <w:pageBreakBefore w:val="0"/>
        <w:widowControl/>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i w:val="0"/>
          <w:iCs w:val="0"/>
          <w:color w:val="auto"/>
          <w:sz w:val="22"/>
          <w:szCs w:val="22"/>
          <w:lang w:val="en-US" w:eastAsia="zh-CN" w:bidi="ar-SA"/>
        </w:rPr>
      </w:pPr>
      <w:r>
        <w:rPr>
          <w:rFonts w:hint="eastAsia" w:ascii="Times New Roman" w:hAnsi="Times New Roman" w:eastAsia="宋体" w:cs="Times New Roman"/>
          <w:i w:val="0"/>
          <w:iCs w:val="0"/>
          <w:color w:val="auto"/>
          <w:sz w:val="22"/>
          <w:szCs w:val="22"/>
          <w:lang w:val="en-US" w:eastAsia="zh-CN" w:bidi="ar-SA"/>
        </w:rPr>
        <w:t xml:space="preserve">Group members: </w:t>
      </w:r>
      <w:r>
        <w:rPr>
          <w:rFonts w:hint="default" w:ascii="Times New Roman" w:hAnsi="Times New Roman" w:eastAsia="宋体" w:cs="Times New Roman"/>
          <w:i w:val="0"/>
          <w:iCs w:val="0"/>
          <w:color w:val="auto"/>
          <w:sz w:val="22"/>
          <w:szCs w:val="22"/>
          <w:lang w:val="en-US" w:eastAsia="zh-CN" w:bidi="ar-SA"/>
        </w:rPr>
        <w:t>ZHEN Zewen</w:t>
      </w:r>
      <w:r>
        <w:rPr>
          <w:rFonts w:hint="eastAsia" w:ascii="Times New Roman" w:hAnsi="Times New Roman" w:eastAsia="宋体" w:cs="Times New Roman"/>
          <w:i w:val="0"/>
          <w:iCs w:val="0"/>
          <w:color w:val="auto"/>
          <w:sz w:val="22"/>
          <w:szCs w:val="22"/>
          <w:lang w:val="en-US" w:eastAsia="zh-CN" w:bidi="ar-SA"/>
        </w:rPr>
        <w:t xml:space="preserve"> </w:t>
      </w:r>
      <w:r>
        <w:rPr>
          <w:rFonts w:hint="default" w:ascii="Times New Roman" w:hAnsi="Times New Roman" w:eastAsia="宋体" w:cs="Times New Roman"/>
          <w:i w:val="0"/>
          <w:iCs w:val="0"/>
          <w:color w:val="auto"/>
          <w:sz w:val="22"/>
          <w:szCs w:val="22"/>
          <w:lang w:val="en-US" w:eastAsia="zh-CN" w:bidi="ar-SA"/>
        </w:rPr>
        <w:t>25051464g</w:t>
      </w:r>
      <w:r>
        <w:rPr>
          <w:rFonts w:hint="eastAsia" w:ascii="Times New Roman" w:hAnsi="Times New Roman" w:eastAsia="宋体" w:cs="Times New Roman"/>
          <w:i w:val="0"/>
          <w:iCs w:val="0"/>
          <w:color w:val="auto"/>
          <w:sz w:val="22"/>
          <w:szCs w:val="22"/>
          <w:lang w:val="en-US" w:eastAsia="zh-CN" w:bidi="ar-SA"/>
        </w:rPr>
        <w:t xml:space="preserve">, </w:t>
      </w:r>
      <w:r>
        <w:rPr>
          <w:rFonts w:hint="default" w:ascii="Times New Roman" w:hAnsi="Times New Roman" w:eastAsia="宋体" w:cs="Times New Roman"/>
          <w:i w:val="0"/>
          <w:iCs w:val="0"/>
          <w:color w:val="auto"/>
          <w:sz w:val="22"/>
          <w:szCs w:val="22"/>
          <w:lang w:val="en-US" w:eastAsia="zh-CN" w:bidi="ar-SA"/>
        </w:rPr>
        <w:t>LI Yueyun</w:t>
      </w:r>
      <w:r>
        <w:rPr>
          <w:rFonts w:hint="eastAsia" w:ascii="Times New Roman" w:hAnsi="Times New Roman" w:eastAsia="宋体" w:cs="Times New Roman"/>
          <w:i w:val="0"/>
          <w:iCs w:val="0"/>
          <w:color w:val="auto"/>
          <w:sz w:val="22"/>
          <w:szCs w:val="22"/>
          <w:lang w:val="en-US" w:eastAsia="zh-CN" w:bidi="ar-SA"/>
        </w:rPr>
        <w:t xml:space="preserve"> </w:t>
      </w:r>
      <w:r>
        <w:rPr>
          <w:rFonts w:hint="default" w:ascii="Times New Roman" w:hAnsi="Times New Roman" w:eastAsia="宋体" w:cs="Times New Roman"/>
          <w:i w:val="0"/>
          <w:iCs w:val="0"/>
          <w:color w:val="auto"/>
          <w:sz w:val="22"/>
          <w:szCs w:val="22"/>
          <w:lang w:val="en-US" w:eastAsia="zh-CN" w:bidi="ar-SA"/>
        </w:rPr>
        <w:t>25066397g</w:t>
      </w:r>
      <w:r>
        <w:rPr>
          <w:rFonts w:hint="eastAsia" w:ascii="Times New Roman" w:hAnsi="Times New Roman" w:eastAsia="宋体" w:cs="Times New Roman"/>
          <w:i w:val="0"/>
          <w:iCs w:val="0"/>
          <w:color w:val="auto"/>
          <w:sz w:val="22"/>
          <w:szCs w:val="22"/>
          <w:lang w:val="en-US" w:eastAsia="zh-CN" w:bidi="ar-SA"/>
        </w:rPr>
        <w:t xml:space="preserve">, </w:t>
      </w:r>
      <w:r>
        <w:rPr>
          <w:rFonts w:hint="default" w:ascii="Times New Roman" w:hAnsi="Times New Roman" w:eastAsia="宋体" w:cs="Times New Roman"/>
          <w:i w:val="0"/>
          <w:iCs w:val="0"/>
          <w:color w:val="auto"/>
          <w:sz w:val="22"/>
          <w:szCs w:val="22"/>
          <w:lang w:val="en-US" w:eastAsia="zh-CN" w:bidi="ar-SA"/>
        </w:rPr>
        <w:t>ZHANG Wenlong 25044916g</w:t>
      </w:r>
    </w:p>
    <w:p w14:paraId="585395DA">
      <w:pPr>
        <w:pStyle w:val="23"/>
        <w:keepNext w:val="0"/>
        <w:keepLines w:val="0"/>
        <w:pageBreakBefore w:val="0"/>
        <w:widowControl/>
        <w:kinsoku/>
        <w:wordWrap/>
        <w:overflowPunct/>
        <w:topLinePunct w:val="0"/>
        <w:autoSpaceDE/>
        <w:autoSpaceDN/>
        <w:bidi w:val="0"/>
        <w:adjustRightInd/>
        <w:snapToGrid/>
        <w:spacing w:before="60" w:after="60"/>
        <w:jc w:val="center"/>
        <w:textAlignment w:val="auto"/>
        <w:rPr>
          <w:rFonts w:hint="default" w:ascii="Times New Roman" w:hAnsi="Times New Roman" w:eastAsia="宋体" w:cs="Times New Roman"/>
          <w:i w:val="0"/>
          <w:iCs w:val="0"/>
          <w:color w:val="auto"/>
          <w:sz w:val="22"/>
          <w:szCs w:val="22"/>
          <w:lang w:val="en-US" w:eastAsia="zh-CN" w:bidi="ar-SA"/>
        </w:rPr>
      </w:pPr>
      <w:r>
        <w:rPr>
          <w:rFonts w:hint="default" w:ascii="Times New Roman" w:hAnsi="Times New Roman" w:eastAsia="宋体" w:cs="Times New Roman"/>
          <w:i w:val="0"/>
          <w:iCs w:val="0"/>
          <w:color w:val="auto"/>
          <w:sz w:val="22"/>
          <w:szCs w:val="22"/>
          <w:lang w:val="en-US" w:eastAsia="zh-CN" w:bidi="ar-SA"/>
        </w:rPr>
        <w:t>June 20, 2026</w:t>
      </w:r>
      <w:bookmarkStart w:id="8" w:name="_GoBack"/>
      <w:bookmarkEnd w:id="8"/>
    </w:p>
    <w:p w14:paraId="1339FA53">
      <w:pPr>
        <w:pStyle w:val="5"/>
        <w:rPr>
          <w:rFonts w:hint="default" w:ascii="Times New Roman" w:hAnsi="Times New Roman" w:cs="Times New Roman"/>
          <w:i w:val="0"/>
          <w:iCs w:val="0"/>
          <w:color w:val="auto"/>
          <w:sz w:val="24"/>
          <w:szCs w:val="24"/>
        </w:rPr>
      </w:pPr>
      <w:bookmarkStart w:id="0" w:name="X6626817d0c439f988542b305076d2dcff1b1085"/>
      <w:r>
        <w:rPr>
          <w:rFonts w:hint="default" w:ascii="Times New Roman" w:hAnsi="Times New Roman" w:cs="Times New Roman"/>
          <w:i w:val="0"/>
          <w:iCs w:val="0"/>
          <w:color w:val="auto"/>
          <w:sz w:val="24"/>
          <w:szCs w:val="24"/>
        </w:rPr>
        <w:t>1. Task Selection and Scope</w:t>
      </w:r>
    </w:p>
    <w:p w14:paraId="61FD355C">
      <w:pPr>
        <w:pStyle w:val="23"/>
        <w:keepNext w:val="0"/>
        <w:keepLines w:val="0"/>
        <w:pageBreakBefore w:val="0"/>
        <w:widowControl/>
        <w:kinsoku/>
        <w:wordWrap/>
        <w:overflowPunct/>
        <w:topLinePunct w:val="0"/>
        <w:autoSpaceDE/>
        <w:autoSpaceDN/>
        <w:bidi w:val="0"/>
        <w:adjustRightInd/>
        <w:snapToGrid/>
        <w:spacing w:before="60" w:after="60"/>
        <w:textAlignment w:val="auto"/>
        <w:rPr>
          <w:rFonts w:hint="default" w:ascii="Times New Roman" w:hAnsi="Times New Roman" w:cs="Times New Roman"/>
          <w:i w:val="0"/>
          <w:iCs w:val="0"/>
          <w:color w:val="auto"/>
        </w:rPr>
      </w:pPr>
      <w:r>
        <w:rPr>
          <w:rFonts w:hint="default" w:ascii="Times New Roman" w:hAnsi="Times New Roman" w:cs="Times New Roman"/>
          <w:i w:val="0"/>
          <w:iCs w:val="0"/>
          <w:color w:val="auto"/>
        </w:rPr>
        <w:t xml:space="preserve">We select </w:t>
      </w:r>
      <w:r>
        <w:rPr>
          <w:rFonts w:hint="default" w:ascii="Times New Roman" w:hAnsi="Times New Roman" w:cs="Times New Roman"/>
          <w:b/>
          <w:bCs/>
          <w:i w:val="0"/>
          <w:iCs w:val="0"/>
          <w:color w:val="auto"/>
        </w:rPr>
        <w:t>Task 1: End-to-End Encrypted One-to-One Messaging System</w:t>
      </w:r>
      <w:r>
        <w:rPr>
          <w:rFonts w:hint="default" w:ascii="Times New Roman" w:hAnsi="Times New Roman" w:cs="Times New Roman"/>
          <w:i w:val="0"/>
          <w:iCs w:val="0"/>
          <w:color w:val="auto"/>
        </w:rPr>
        <w:t>, which enables secure text communication between two online users.</w:t>
      </w:r>
    </w:p>
    <w:p w14:paraId="792BB642">
      <w:pPr>
        <w:pStyle w:val="3"/>
        <w:rPr>
          <w:rFonts w:hint="default" w:ascii="Times New Roman" w:hAnsi="Times New Roman" w:cs="Times New Roman"/>
          <w:i w:val="0"/>
          <w:iCs w:val="0"/>
          <w:color w:val="auto"/>
        </w:rPr>
      </w:pPr>
      <w:r>
        <w:rPr>
          <w:rFonts w:hint="default" w:ascii="Times New Roman" w:hAnsi="Times New Roman" w:cs="Times New Roman"/>
          <w:b/>
          <w:bCs/>
          <w:i w:val="0"/>
          <w:iCs w:val="0"/>
          <w:color w:val="auto"/>
        </w:rPr>
        <w:t>Features included</w:t>
      </w:r>
      <w:r>
        <w:rPr>
          <w:rFonts w:hint="default" w:ascii="Times New Roman" w:hAnsi="Times New Roman" w:cs="Times New Roman"/>
          <w:i w:val="0"/>
          <w:iCs w:val="0"/>
          <w:color w:val="auto"/>
        </w:rPr>
        <w:t>: user registration and long‑term key generation, public key publication and lookup, authenticated session establishment, and sending/receiving messages with confidentiality, integrity, authenticity, and replay protection.</w:t>
      </w:r>
    </w:p>
    <w:bookmarkEnd w:id="0"/>
    <w:p w14:paraId="4C87EBB5">
      <w:pPr>
        <w:pStyle w:val="5"/>
        <w:rPr>
          <w:rFonts w:hint="default" w:ascii="Times New Roman" w:hAnsi="Times New Roman" w:cs="Times New Roman"/>
          <w:i w:val="0"/>
          <w:iCs w:val="0"/>
          <w:color w:val="auto"/>
          <w:sz w:val="24"/>
          <w:szCs w:val="24"/>
        </w:rPr>
      </w:pPr>
      <w:bookmarkStart w:id="1" w:name="Xadffa0c657789d188b7bad67251e99502d9d94d"/>
      <w:r>
        <w:rPr>
          <w:rFonts w:hint="default" w:ascii="Times New Roman" w:hAnsi="Times New Roman" w:cs="Times New Roman"/>
          <w:i w:val="0"/>
          <w:iCs w:val="0"/>
          <w:color w:val="auto"/>
          <w:sz w:val="24"/>
          <w:szCs w:val="24"/>
        </w:rPr>
        <w:t>2. System Architecture</w:t>
      </w:r>
    </w:p>
    <w:p w14:paraId="0C9C6972">
      <w:pPr>
        <w:pStyle w:val="23"/>
        <w:keepNext w:val="0"/>
        <w:keepLines w:val="0"/>
        <w:pageBreakBefore w:val="0"/>
        <w:widowControl/>
        <w:kinsoku/>
        <w:wordWrap/>
        <w:overflowPunct/>
        <w:topLinePunct w:val="0"/>
        <w:autoSpaceDE/>
        <w:autoSpaceDN/>
        <w:bidi w:val="0"/>
        <w:adjustRightInd/>
        <w:snapToGrid/>
        <w:spacing w:before="60" w:after="60"/>
        <w:textAlignment w:val="auto"/>
        <w:rPr>
          <w:rFonts w:hint="default" w:ascii="Times New Roman" w:hAnsi="Times New Roman" w:cs="Times New Roman"/>
          <w:i w:val="0"/>
          <w:iCs w:val="0"/>
          <w:color w:val="auto"/>
        </w:rPr>
      </w:pPr>
      <w:r>
        <w:rPr>
          <w:rFonts w:hint="default" w:ascii="Times New Roman" w:hAnsi="Times New Roman" w:cs="Times New Roman"/>
          <w:i w:val="0"/>
          <w:iCs w:val="0"/>
          <w:color w:val="auto"/>
        </w:rPr>
        <w:t xml:space="preserve">The system consists of three entities: </w:t>
      </w:r>
      <w:r>
        <w:rPr>
          <w:rFonts w:hint="default" w:ascii="Times New Roman" w:hAnsi="Times New Roman" w:cs="Times New Roman"/>
          <w:b/>
          <w:bCs/>
          <w:i w:val="0"/>
          <w:iCs w:val="0"/>
          <w:color w:val="auto"/>
        </w:rPr>
        <w:t>Sender (Client A)</w:t>
      </w:r>
      <w:r>
        <w:rPr>
          <w:rFonts w:hint="default" w:ascii="Times New Roman" w:hAnsi="Times New Roman" w:cs="Times New Roman"/>
          <w:i w:val="0"/>
          <w:iCs w:val="0"/>
          <w:color w:val="auto"/>
        </w:rPr>
        <w:t xml:space="preserve"> → </w:t>
      </w:r>
      <w:r>
        <w:rPr>
          <w:rFonts w:hint="default" w:ascii="Times New Roman" w:hAnsi="Times New Roman" w:cs="Times New Roman"/>
          <w:b/>
          <w:bCs/>
          <w:i w:val="0"/>
          <w:iCs w:val="0"/>
          <w:color w:val="auto"/>
        </w:rPr>
        <w:t>Relay Server</w:t>
      </w:r>
      <w:r>
        <w:rPr>
          <w:rFonts w:hint="default" w:ascii="Times New Roman" w:hAnsi="Times New Roman" w:cs="Times New Roman"/>
          <w:i w:val="0"/>
          <w:iCs w:val="0"/>
          <w:color w:val="auto"/>
        </w:rPr>
        <w:t xml:space="preserve"> → </w:t>
      </w:r>
      <w:r>
        <w:rPr>
          <w:rFonts w:hint="default" w:ascii="Times New Roman" w:hAnsi="Times New Roman" w:cs="Times New Roman"/>
          <w:b/>
          <w:bCs/>
          <w:i w:val="0"/>
          <w:iCs w:val="0"/>
          <w:color w:val="auto"/>
        </w:rPr>
        <w:t>Receiver (Client B)</w:t>
      </w:r>
      <w:r>
        <w:rPr>
          <w:rFonts w:hint="default" w:ascii="Times New Roman" w:hAnsi="Times New Roman" w:cs="Times New Roman"/>
          <w:i w:val="0"/>
          <w:iCs w:val="0"/>
          <w:color w:val="auto"/>
        </w:rPr>
        <w:t>.</w:t>
      </w:r>
    </w:p>
    <w:p w14:paraId="3AE20499">
      <w:pPr>
        <w:keepNext w:val="0"/>
        <w:keepLines w:val="0"/>
        <w:pageBreakBefore w:val="0"/>
        <w:widowControl/>
        <w:numPr>
          <w:ilvl w:val="0"/>
          <w:numId w:val="1"/>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Client (most critical): generates keys, encrypts/decrypts messages, and verifies message legitimacy.</w:t>
      </w:r>
    </w:p>
    <w:p w14:paraId="6556EFBD">
      <w:pPr>
        <w:keepNext w:val="0"/>
        <w:keepLines w:val="0"/>
        <w:pageBreakBefore w:val="0"/>
        <w:widowControl/>
        <w:numPr>
          <w:ilvl w:val="0"/>
          <w:numId w:val="1"/>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Server (weakly trusted): handles user registration, stores and distributes public keys, and forwards messages. The server cannot see message content – it handles only ciphertext and routing metadata.</w:t>
      </w:r>
    </w:p>
    <w:p w14:paraId="29BBF677">
      <w:pPr>
        <w:keepNext w:val="0"/>
        <w:keepLines w:val="0"/>
        <w:pageBreakBefore w:val="0"/>
        <w:widowControl/>
        <w:numPr>
          <w:ilvl w:val="0"/>
          <w:numId w:val="1"/>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Network: completely untrusted (provides no confidentiality, integrity, or authenticity).</w:t>
      </w:r>
    </w:p>
    <w:bookmarkEnd w:id="1"/>
    <w:p w14:paraId="0F30D9FE">
      <w:pPr>
        <w:pStyle w:val="5"/>
        <w:rPr>
          <w:rFonts w:hint="default" w:ascii="Times New Roman" w:hAnsi="Times New Roman" w:cs="Times New Roman"/>
          <w:i w:val="0"/>
          <w:iCs w:val="0"/>
          <w:color w:val="auto"/>
          <w:sz w:val="24"/>
          <w:szCs w:val="24"/>
        </w:rPr>
      </w:pPr>
      <w:bookmarkStart w:id="2" w:name="X3d835541c6b1b2bdab6fea6758e24637b7db770"/>
      <w:r>
        <w:rPr>
          <w:rFonts w:hint="default" w:ascii="Times New Roman" w:hAnsi="Times New Roman" w:cs="Times New Roman"/>
          <w:i w:val="0"/>
          <w:iCs w:val="0"/>
          <w:color w:val="auto"/>
          <w:sz w:val="24"/>
          <w:szCs w:val="24"/>
        </w:rPr>
        <w:t>3. Key Design</w:t>
      </w:r>
    </w:p>
    <w:p w14:paraId="3B91C49D">
      <w:pPr>
        <w:pStyle w:val="23"/>
        <w:keepNext w:val="0"/>
        <w:keepLines w:val="0"/>
        <w:pageBreakBefore w:val="0"/>
        <w:widowControl/>
        <w:kinsoku/>
        <w:wordWrap/>
        <w:overflowPunct/>
        <w:topLinePunct w:val="0"/>
        <w:autoSpaceDE/>
        <w:autoSpaceDN/>
        <w:bidi w:val="0"/>
        <w:adjustRightInd/>
        <w:snapToGrid/>
        <w:spacing w:before="60" w:after="60"/>
        <w:textAlignment w:val="auto"/>
        <w:rPr>
          <w:rFonts w:hint="default" w:ascii="Times New Roman" w:hAnsi="Times New Roman" w:cs="Times New Roman"/>
          <w:i w:val="0"/>
          <w:iCs w:val="0"/>
          <w:color w:val="auto"/>
        </w:rPr>
      </w:pPr>
      <w:r>
        <w:rPr>
          <w:rFonts w:hint="default" w:ascii="Times New Roman" w:hAnsi="Times New Roman" w:cs="Times New Roman"/>
          <w:i w:val="0"/>
          <w:iCs w:val="0"/>
          <w:color w:val="auto"/>
        </w:rPr>
        <w:t>The system uses two types of keys:</w:t>
      </w:r>
    </w:p>
    <w:p w14:paraId="44912359">
      <w:pPr>
        <w:pStyle w:val="6"/>
        <w:keepNext/>
        <w:keepLines/>
        <w:pageBreakBefore w:val="0"/>
        <w:widowControl/>
        <w:kinsoku/>
        <w:wordWrap/>
        <w:overflowPunct/>
        <w:topLinePunct w:val="0"/>
        <w:autoSpaceDE/>
        <w:autoSpaceDN/>
        <w:bidi w:val="0"/>
        <w:adjustRightInd/>
        <w:snapToGrid/>
        <w:spacing w:before="80" w:after="80"/>
        <w:textAlignment w:val="auto"/>
        <w:rPr>
          <w:rFonts w:hint="default" w:ascii="Times New Roman" w:hAnsi="Times New Roman" w:cs="Times New Roman"/>
          <w:b/>
          <w:bCs w:val="0"/>
          <w:i w:val="0"/>
          <w:iCs w:val="0"/>
          <w:color w:val="auto"/>
        </w:rPr>
      </w:pPr>
      <w:bookmarkStart w:id="3" w:name="X1f9c7232ff17d4abe71cc78a4c5f29fd706421c"/>
      <w:r>
        <w:rPr>
          <w:rFonts w:hint="default" w:ascii="Times New Roman" w:hAnsi="Times New Roman" w:cs="Times New Roman"/>
          <w:b/>
          <w:bCs w:val="0"/>
          <w:i w:val="0"/>
          <w:iCs w:val="0"/>
          <w:color w:val="auto"/>
        </w:rPr>
        <w:t>3.1 Long‑Term Identity Key</w:t>
      </w:r>
    </w:p>
    <w:p w14:paraId="1F411D3E">
      <w:pPr>
        <w:keepNext w:val="0"/>
        <w:keepLines w:val="0"/>
        <w:pageBreakBefore w:val="0"/>
        <w:widowControl/>
        <w:numPr>
          <w:ilvl w:val="0"/>
          <w:numId w:val="1"/>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Each user generates a public key (uploaded to the server) and a private key (stored locally) upon registration.</w:t>
      </w:r>
    </w:p>
    <w:p w14:paraId="18DBCD44">
      <w:pPr>
        <w:keepNext w:val="0"/>
        <w:keepLines w:val="0"/>
        <w:pageBreakBefore w:val="0"/>
        <w:widowControl/>
        <w:numPr>
          <w:ilvl w:val="0"/>
          <w:numId w:val="1"/>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Purpose: identifies the user and is used to digitally sign session handshake material to defend against man‑in‑the‑middle (MitM) attacks.</w:t>
      </w:r>
    </w:p>
    <w:p w14:paraId="10D104FF">
      <w:pPr>
        <w:keepNext w:val="0"/>
        <w:keepLines w:val="0"/>
        <w:pageBreakBefore w:val="0"/>
        <w:widowControl/>
        <w:numPr>
          <w:ilvl w:val="0"/>
          <w:numId w:val="1"/>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Risk: if the server distributes a fake public key, a MitM attack may occur. Our design automatically detects fake public keys through signature verification – if verification fails, the handshake is rejected. Out‑of‑band fingerprint comparison can be used as an optional extra confirmation.</w:t>
      </w:r>
    </w:p>
    <w:bookmarkEnd w:id="3"/>
    <w:p w14:paraId="0882D5D0">
      <w:pPr>
        <w:pStyle w:val="6"/>
        <w:keepNext/>
        <w:keepLines/>
        <w:pageBreakBefore w:val="0"/>
        <w:widowControl/>
        <w:kinsoku/>
        <w:wordWrap/>
        <w:overflowPunct/>
        <w:topLinePunct w:val="0"/>
        <w:autoSpaceDE/>
        <w:autoSpaceDN/>
        <w:bidi w:val="0"/>
        <w:adjustRightInd/>
        <w:snapToGrid/>
        <w:spacing w:before="80" w:after="80"/>
        <w:textAlignment w:val="auto"/>
        <w:rPr>
          <w:rFonts w:hint="default" w:ascii="Times New Roman" w:hAnsi="Times New Roman" w:cs="Times New Roman"/>
          <w:b/>
          <w:bCs w:val="0"/>
          <w:i w:val="0"/>
          <w:iCs w:val="0"/>
          <w:color w:val="auto"/>
        </w:rPr>
      </w:pPr>
      <w:bookmarkStart w:id="4" w:name="Xfd34643415b53004f2f4299c989e05141f5bf45"/>
      <w:r>
        <w:rPr>
          <w:rFonts w:hint="default" w:ascii="Times New Roman" w:hAnsi="Times New Roman" w:cs="Times New Roman"/>
          <w:b/>
          <w:bCs w:val="0"/>
          <w:i w:val="0"/>
          <w:iCs w:val="0"/>
          <w:color w:val="auto"/>
        </w:rPr>
        <w:t>3.2 Session Key</w:t>
      </w:r>
    </w:p>
    <w:p w14:paraId="048A31B8">
      <w:pPr>
        <w:pStyle w:val="23"/>
        <w:keepNext w:val="0"/>
        <w:keepLines w:val="0"/>
        <w:pageBreakBefore w:val="0"/>
        <w:widowControl/>
        <w:kinsoku/>
        <w:wordWrap/>
        <w:overflowPunct/>
        <w:topLinePunct w:val="0"/>
        <w:autoSpaceDE/>
        <w:autoSpaceDN/>
        <w:bidi w:val="0"/>
        <w:adjustRightInd/>
        <w:snapToGrid/>
        <w:spacing w:before="60" w:after="60"/>
        <w:textAlignment w:val="auto"/>
        <w:rPr>
          <w:rFonts w:hint="default" w:ascii="Times New Roman" w:hAnsi="Times New Roman" w:cs="Times New Roman"/>
          <w:i w:val="0"/>
          <w:iCs w:val="0"/>
          <w:color w:val="auto"/>
        </w:rPr>
      </w:pPr>
      <w:r>
        <w:rPr>
          <w:rFonts w:hint="default" w:ascii="Times New Roman" w:hAnsi="Times New Roman" w:cs="Times New Roman"/>
          <w:i w:val="0"/>
          <w:iCs w:val="0"/>
          <w:color w:val="auto"/>
        </w:rPr>
        <w:t>When two users start a conversation:</w:t>
      </w:r>
    </w:p>
    <w:p w14:paraId="2A216713">
      <w:pPr>
        <w:keepNext w:val="0"/>
        <w:keepLines w:val="0"/>
        <w:pageBreakBefore w:val="0"/>
        <w:widowControl/>
        <w:numPr>
          <w:ilvl w:val="0"/>
          <w:numId w:val="2"/>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Retrieve the peer’s public key.</w:t>
      </w:r>
    </w:p>
    <w:p w14:paraId="7F418AE3">
      <w:pPr>
        <w:keepNext w:val="0"/>
        <w:keepLines w:val="0"/>
        <w:pageBreakBefore w:val="0"/>
        <w:widowControl/>
        <w:numPr>
          <w:ilvl w:val="0"/>
          <w:numId w:val="2"/>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Perform authenticated key exchange – both parties generate ephemeral X25519 key pairs, exchange ephemeral public keys, and sign the handshake material with their long‑term identity private keys. The shared secret is computed only after both signatures are verified.</w:t>
      </w:r>
    </w:p>
    <w:p w14:paraId="1E8C1397">
      <w:pPr>
        <w:keepNext w:val="0"/>
        <w:keepLines w:val="0"/>
        <w:pageBreakBefore w:val="0"/>
        <w:widowControl/>
        <w:numPr>
          <w:ilvl w:val="0"/>
          <w:numId w:val="2"/>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Derive a shared session key via HKDF‑SHA256.</w:t>
      </w:r>
    </w:p>
    <w:p w14:paraId="455B287F">
      <w:pPr>
        <w:keepNext w:val="0"/>
        <w:keepLines w:val="0"/>
        <w:pageBreakBefore w:val="0"/>
        <w:widowControl/>
        <w:numPr>
          <w:ilvl w:val="0"/>
          <w:numId w:val="0"/>
        </w:numPr>
        <w:kinsoku/>
        <w:wordWrap/>
        <w:overflowPunct/>
        <w:topLinePunct w:val="0"/>
        <w:autoSpaceDE/>
        <w:autoSpaceDN/>
        <w:bidi w:val="0"/>
        <w:adjustRightInd/>
        <w:snapToGrid/>
        <w:spacing w:after="0"/>
        <w:ind w:left="240" w:leftChars="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Purpose (very important): this key is used for AEAD encryption (ensuring confidentiality) and AEAD authentication (preventing tampering and verifying the source).</w:t>
      </w:r>
    </w:p>
    <w:bookmarkEnd w:id="2"/>
    <w:bookmarkEnd w:id="4"/>
    <w:p w14:paraId="0F66EF51">
      <w:pPr>
        <w:pStyle w:val="5"/>
        <w:rPr>
          <w:rFonts w:hint="default" w:ascii="Times New Roman" w:hAnsi="Times New Roman" w:cs="Times New Roman"/>
          <w:i w:val="0"/>
          <w:iCs w:val="0"/>
          <w:color w:val="auto"/>
          <w:sz w:val="24"/>
          <w:szCs w:val="24"/>
        </w:rPr>
      </w:pPr>
      <w:bookmarkStart w:id="5" w:name="Xc6ab2643c54d2bf4e61951e56f9db037f49cb47"/>
      <w:r>
        <w:rPr>
          <w:rFonts w:hint="default" w:ascii="Times New Roman" w:hAnsi="Times New Roman" w:cs="Times New Roman"/>
          <w:i w:val="0"/>
          <w:iCs w:val="0"/>
          <w:color w:val="auto"/>
          <w:sz w:val="24"/>
          <w:szCs w:val="24"/>
        </w:rPr>
        <w:t>4. Complete Message Transfer Flow</w:t>
      </w:r>
    </w:p>
    <w:p w14:paraId="1799F725">
      <w:pPr>
        <w:keepNext w:val="0"/>
        <w:keepLines w:val="0"/>
        <w:pageBreakBefore w:val="0"/>
        <w:widowControl/>
        <w:numPr>
          <w:ilvl w:val="0"/>
          <w:numId w:val="3"/>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Registration: Alice and Bob each generate an Ed25519 identity key pair locally and register their username and public key with the server.</w:t>
      </w:r>
    </w:p>
    <w:p w14:paraId="4F73417F">
      <w:pPr>
        <w:keepNext w:val="0"/>
        <w:keepLines w:val="0"/>
        <w:pageBreakBefore w:val="0"/>
        <w:widowControl/>
        <w:numPr>
          <w:ilvl w:val="0"/>
          <w:numId w:val="3"/>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Public Key Lookup: Alice requests Bob’s public key from the server; the server returns it.</w:t>
      </w:r>
    </w:p>
    <w:p w14:paraId="30F271B1">
      <w:pPr>
        <w:keepNext w:val="0"/>
        <w:keepLines w:val="0"/>
        <w:pageBreakBefore w:val="0"/>
        <w:widowControl/>
        <w:numPr>
          <w:ilvl w:val="0"/>
          <w:numId w:val="3"/>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Authenticated Handshake (MitM defence):</w:t>
      </w:r>
    </w:p>
    <w:p w14:paraId="58D98DD6">
      <w:pPr>
        <w:keepNext w:val="0"/>
        <w:keepLines w:val="0"/>
        <w:pageBreakBefore w:val="0"/>
        <w:widowControl/>
        <w:numPr>
          <w:ilvl w:val="0"/>
          <w:numId w:val="0"/>
        </w:numPr>
        <w:kinsoku/>
        <w:wordWrap/>
        <w:overflowPunct/>
        <w:topLinePunct w:val="0"/>
        <w:autoSpaceDE/>
        <w:autoSpaceDN/>
        <w:bidi w:val="0"/>
        <w:adjustRightInd/>
        <w:snapToGrid/>
        <w:spacing w:after="0"/>
        <w:ind w:left="960" w:leftChars="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 xml:space="preserve">Alice generates an ephemeral X25519 key pair, signs the combination of her ephemeral public key and </w:t>
      </w:r>
      <w:r>
        <w:rPr>
          <w:rStyle w:val="35"/>
          <w:rFonts w:hint="default" w:ascii="Times New Roman" w:hAnsi="Times New Roman" w:cs="Times New Roman"/>
          <w:b w:val="0"/>
          <w:bCs w:val="0"/>
          <w:i w:val="0"/>
          <w:iCs w:val="0"/>
          <w:color w:val="auto"/>
        </w:rPr>
        <w:t>session_id</w:t>
      </w:r>
      <w:r>
        <w:rPr>
          <w:rFonts w:hint="default" w:ascii="Times New Roman" w:hAnsi="Times New Roman" w:cs="Times New Roman"/>
          <w:b w:val="0"/>
          <w:bCs w:val="0"/>
          <w:i w:val="0"/>
          <w:iCs w:val="0"/>
          <w:color w:val="auto"/>
        </w:rPr>
        <w:t xml:space="preserve"> with her identity private key, and sends the signature and ephemeral public key to Bob.</w:t>
      </w:r>
    </w:p>
    <w:p w14:paraId="7460AE4E">
      <w:pPr>
        <w:keepNext w:val="0"/>
        <w:keepLines w:val="0"/>
        <w:pageBreakBefore w:val="0"/>
        <w:widowControl/>
        <w:numPr>
          <w:ilvl w:val="0"/>
          <w:numId w:val="0"/>
        </w:numPr>
        <w:kinsoku/>
        <w:wordWrap/>
        <w:overflowPunct/>
        <w:topLinePunct w:val="0"/>
        <w:autoSpaceDE/>
        <w:autoSpaceDN/>
        <w:bidi w:val="0"/>
        <w:adjustRightInd/>
        <w:snapToGrid/>
        <w:spacing w:after="0"/>
        <w:ind w:left="960" w:leftChars="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Bob verifies the signature using Alice’s public key. Upon success, he generates his own ephemeral key pair and signs his response, sending it back.</w:t>
      </w:r>
    </w:p>
    <w:p w14:paraId="0D80F82E">
      <w:pPr>
        <w:keepNext w:val="0"/>
        <w:keepLines w:val="0"/>
        <w:pageBreakBefore w:val="0"/>
        <w:widowControl/>
        <w:numPr>
          <w:ilvl w:val="0"/>
          <w:numId w:val="0"/>
        </w:numPr>
        <w:kinsoku/>
        <w:wordWrap/>
        <w:overflowPunct/>
        <w:topLinePunct w:val="0"/>
        <w:autoSpaceDE/>
        <w:autoSpaceDN/>
        <w:bidi w:val="0"/>
        <w:adjustRightInd/>
        <w:snapToGrid/>
        <w:spacing w:after="0"/>
        <w:ind w:left="960" w:leftChars="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After both signatures are verified, both parties compute the X25519 shared secret and derive the session key via HKDF.</w:t>
      </w:r>
    </w:p>
    <w:p w14:paraId="3F2F4F1F">
      <w:pPr>
        <w:keepNext w:val="0"/>
        <w:keepLines w:val="0"/>
        <w:pageBreakBefore w:val="0"/>
        <w:widowControl/>
        <w:numPr>
          <w:ilvl w:val="0"/>
          <w:numId w:val="3"/>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Sending a message:</w:t>
      </w:r>
    </w:p>
    <w:p w14:paraId="1B6BB985">
      <w:pPr>
        <w:keepNext w:val="0"/>
        <w:keepLines w:val="0"/>
        <w:pageBreakBefore w:val="0"/>
        <w:widowControl/>
        <w:numPr>
          <w:ilvl w:val="0"/>
          <w:numId w:val="0"/>
        </w:numPr>
        <w:kinsoku/>
        <w:wordWrap/>
        <w:overflowPunct/>
        <w:topLinePunct w:val="0"/>
        <w:autoSpaceDE/>
        <w:autoSpaceDN/>
        <w:bidi w:val="0"/>
        <w:adjustRightInd/>
        <w:snapToGrid/>
        <w:spacing w:after="0"/>
        <w:ind w:left="960" w:leftChars="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 xml:space="preserve">Encrypt the plaintext using the session key with an AEAD scheme (e.g., ChaCha20‑Poly1305). The associated data (AD) is set to </w:t>
      </w:r>
      <w:r>
        <w:rPr>
          <w:rStyle w:val="35"/>
          <w:rFonts w:hint="default" w:ascii="Times New Roman" w:hAnsi="Times New Roman" w:cs="Times New Roman"/>
          <w:b w:val="0"/>
          <w:bCs w:val="0"/>
          <w:i w:val="0"/>
          <w:iCs w:val="0"/>
          <w:color w:val="auto"/>
        </w:rPr>
        <w:t>sender_id || recipient_id || session_id || message_counter</w:t>
      </w:r>
      <w:r>
        <w:rPr>
          <w:rFonts w:hint="default" w:ascii="Times New Roman" w:hAnsi="Times New Roman" w:cs="Times New Roman"/>
          <w:b w:val="0"/>
          <w:bCs w:val="0"/>
          <w:i w:val="0"/>
          <w:iCs w:val="0"/>
          <w:color w:val="auto"/>
        </w:rPr>
        <w:t>.</w:t>
      </w:r>
    </w:p>
    <w:p w14:paraId="16A697D3">
      <w:pPr>
        <w:keepNext w:val="0"/>
        <w:keepLines w:val="0"/>
        <w:pageBreakBefore w:val="0"/>
        <w:widowControl/>
        <w:numPr>
          <w:ilvl w:val="0"/>
          <w:numId w:val="0"/>
        </w:numPr>
        <w:kinsoku/>
        <w:wordWrap/>
        <w:overflowPunct/>
        <w:topLinePunct w:val="0"/>
        <w:autoSpaceDE/>
        <w:autoSpaceDN/>
        <w:bidi w:val="0"/>
        <w:adjustRightInd/>
        <w:snapToGrid/>
        <w:spacing w:after="0"/>
        <w:ind w:left="960" w:leftChars="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Send the resulting ciphertext and authentication tag to the server.</w:t>
      </w:r>
    </w:p>
    <w:p w14:paraId="769F98AB">
      <w:pPr>
        <w:keepNext w:val="0"/>
        <w:keepLines w:val="0"/>
        <w:pageBreakBefore w:val="0"/>
        <w:widowControl/>
        <w:numPr>
          <w:ilvl w:val="0"/>
          <w:numId w:val="3"/>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Receiving and verification:</w:t>
      </w:r>
    </w:p>
    <w:p w14:paraId="73B455F4">
      <w:pPr>
        <w:keepNext w:val="0"/>
        <w:keepLines w:val="0"/>
        <w:pageBreakBefore w:val="0"/>
        <w:widowControl/>
        <w:numPr>
          <w:ilvl w:val="0"/>
          <w:numId w:val="0"/>
        </w:numPr>
        <w:kinsoku/>
        <w:wordWrap/>
        <w:overflowPunct/>
        <w:topLinePunct w:val="0"/>
        <w:autoSpaceDE/>
        <w:autoSpaceDN/>
        <w:bidi w:val="0"/>
        <w:adjustRightInd/>
        <w:snapToGrid/>
        <w:spacing w:after="0"/>
        <w:ind w:left="960" w:leftChars="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The server forwards the ciphertext (without decryption).</w:t>
      </w:r>
    </w:p>
    <w:p w14:paraId="253FA7BA">
      <w:pPr>
        <w:keepNext w:val="0"/>
        <w:keepLines w:val="0"/>
        <w:pageBreakBefore w:val="0"/>
        <w:widowControl/>
        <w:numPr>
          <w:ilvl w:val="0"/>
          <w:numId w:val="0"/>
        </w:numPr>
        <w:kinsoku/>
        <w:wordWrap/>
        <w:overflowPunct/>
        <w:topLinePunct w:val="0"/>
        <w:autoSpaceDE/>
        <w:autoSpaceDN/>
        <w:bidi w:val="0"/>
        <w:adjustRightInd/>
        <w:snapToGrid/>
        <w:spacing w:after="0"/>
        <w:ind w:left="960" w:leftChars="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 xml:space="preserve">Bob first verifies the AEAD authentication tag – if it fails, the message is discarded. Then he checks </w:t>
      </w:r>
      <w:r>
        <w:rPr>
          <w:rStyle w:val="35"/>
          <w:rFonts w:hint="default" w:ascii="Times New Roman" w:hAnsi="Times New Roman" w:cs="Times New Roman"/>
          <w:b w:val="0"/>
          <w:bCs w:val="0"/>
          <w:i w:val="0"/>
          <w:iCs w:val="0"/>
          <w:color w:val="auto"/>
        </w:rPr>
        <w:t>message_counter</w:t>
      </w:r>
      <w:r>
        <w:rPr>
          <w:rFonts w:hint="default" w:ascii="Times New Roman" w:hAnsi="Times New Roman" w:cs="Times New Roman"/>
          <w:b w:val="0"/>
          <w:bCs w:val="0"/>
          <w:i w:val="0"/>
          <w:iCs w:val="0"/>
          <w:color w:val="auto"/>
        </w:rPr>
        <w:t xml:space="preserve"> – if it is a duplicate or falls back, it is rejected as a replay. Finally, he decrypts to obtain the plaintext.</w:t>
      </w:r>
    </w:p>
    <w:p w14:paraId="23F71A22">
      <w:pPr>
        <w:keepNext w:val="0"/>
        <w:keepLines w:val="0"/>
        <w:pageBreakBefore w:val="0"/>
        <w:widowControl/>
        <w:numPr>
          <w:ilvl w:val="0"/>
          <w:numId w:val="3"/>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Session termination: both parties discard the ephemeral private keys and the session key.</w:t>
      </w:r>
    </w:p>
    <w:bookmarkEnd w:id="5"/>
    <w:p w14:paraId="6BBCB2E1">
      <w:pPr>
        <w:pStyle w:val="5"/>
        <w:rPr>
          <w:rFonts w:hint="default" w:ascii="Times New Roman" w:hAnsi="Times New Roman" w:cs="Times New Roman"/>
          <w:i w:val="0"/>
          <w:iCs w:val="0"/>
          <w:color w:val="auto"/>
          <w:sz w:val="24"/>
          <w:szCs w:val="24"/>
        </w:rPr>
      </w:pPr>
      <w:bookmarkStart w:id="6" w:name="Xe5d97451d632c86ef3862a05caec8551abc18e8"/>
      <w:r>
        <w:rPr>
          <w:rFonts w:hint="default" w:ascii="Times New Roman" w:hAnsi="Times New Roman" w:cs="Times New Roman"/>
          <w:i w:val="0"/>
          <w:iCs w:val="0"/>
          <w:color w:val="auto"/>
          <w:sz w:val="24"/>
          <w:szCs w:val="24"/>
        </w:rPr>
        <w:t>5. Security Design</w:t>
      </w:r>
    </w:p>
    <w:p w14:paraId="45868183">
      <w:pPr>
        <w:keepNext w:val="0"/>
        <w:keepLines w:val="0"/>
        <w:pageBreakBefore w:val="0"/>
        <w:widowControl/>
        <w:numPr>
          <w:ilvl w:val="0"/>
          <w:numId w:val="1"/>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Defence against A1 (Passive Network Attacker): the attacker can see all data, but the data is encrypted, so plaintext cannot be obtained. → Satisfies SR1.</w:t>
      </w:r>
    </w:p>
    <w:p w14:paraId="191CD2CC">
      <w:pPr>
        <w:keepNext w:val="0"/>
        <w:keepLines w:val="0"/>
        <w:pageBreakBefore w:val="0"/>
        <w:widowControl/>
        <w:numPr>
          <w:ilvl w:val="0"/>
          <w:numId w:val="1"/>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Defence against A2 (Active Network Attacker):</w:t>
      </w:r>
    </w:p>
    <w:p w14:paraId="69A97C8B">
      <w:pPr>
        <w:keepNext w:val="0"/>
        <w:keepLines w:val="0"/>
        <w:pageBreakBefore w:val="0"/>
        <w:widowControl/>
        <w:numPr>
          <w:ilvl w:val="0"/>
          <w:numId w:val="0"/>
        </w:numPr>
        <w:kinsoku/>
        <w:wordWrap/>
        <w:overflowPunct/>
        <w:topLinePunct w:val="0"/>
        <w:autoSpaceDE/>
        <w:autoSpaceDN/>
        <w:bidi w:val="0"/>
        <w:adjustRightInd/>
        <w:snapToGrid/>
        <w:spacing w:after="0"/>
        <w:ind w:left="960" w:leftChars="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Tampering: AEAD verification fails → Satisfies SR2.</w:t>
      </w:r>
    </w:p>
    <w:p w14:paraId="0A9FDDB7">
      <w:pPr>
        <w:keepNext w:val="0"/>
        <w:keepLines w:val="0"/>
        <w:pageBreakBefore w:val="0"/>
        <w:widowControl/>
        <w:numPr>
          <w:ilvl w:val="0"/>
          <w:numId w:val="0"/>
        </w:numPr>
        <w:kinsoku/>
        <w:wordWrap/>
        <w:overflowPunct/>
        <w:topLinePunct w:val="0"/>
        <w:autoSpaceDE/>
        <w:autoSpaceDN/>
        <w:bidi w:val="0"/>
        <w:adjustRightInd/>
        <w:snapToGrid/>
        <w:spacing w:after="0"/>
        <w:ind w:left="960" w:leftChars="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Forery: without the session key, a valid authentication tag cannot be generated; without the identity private key, the handshake signature cannot be forged → Satisfies SR3.</w:t>
      </w:r>
    </w:p>
    <w:p w14:paraId="097F742A">
      <w:pPr>
        <w:keepNext w:val="0"/>
        <w:keepLines w:val="0"/>
        <w:pageBreakBefore w:val="0"/>
        <w:widowControl/>
        <w:numPr>
          <w:ilvl w:val="0"/>
          <w:numId w:val="0"/>
        </w:numPr>
        <w:kinsoku/>
        <w:wordWrap/>
        <w:overflowPunct/>
        <w:topLinePunct w:val="0"/>
        <w:autoSpaceDE/>
        <w:autoSpaceDN/>
        <w:bidi w:val="0"/>
        <w:adjustRightInd/>
        <w:snapToGrid/>
        <w:spacing w:after="0"/>
        <w:ind w:left="960" w:leftChars="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Replay: sequence numbers + sliding window detect and reject replays → Satisfies SR4.</w:t>
      </w:r>
    </w:p>
    <w:p w14:paraId="2A968F6F">
      <w:pPr>
        <w:keepNext w:val="0"/>
        <w:keepLines w:val="0"/>
        <w:pageBreakBefore w:val="0"/>
        <w:widowControl/>
        <w:numPr>
          <w:ilvl w:val="0"/>
          <w:numId w:val="1"/>
        </w:numPr>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r>
        <w:rPr>
          <w:rFonts w:hint="default" w:ascii="Times New Roman" w:hAnsi="Times New Roman" w:cs="Times New Roman"/>
          <w:b w:val="0"/>
          <w:bCs w:val="0"/>
          <w:i w:val="0"/>
          <w:iCs w:val="0"/>
          <w:color w:val="auto"/>
        </w:rPr>
        <w:t>Defence against A3 (Honest‑but‑Curious Server): the server sees only ciphertext and metadata; it has no session key and cannot decrypt → Satisfies SR1.</w:t>
      </w:r>
    </w:p>
    <w:bookmarkEnd w:id="6"/>
    <w:p w14:paraId="7E3E9632">
      <w:pPr>
        <w:pStyle w:val="5"/>
        <w:rPr>
          <w:rFonts w:hint="default" w:ascii="Times New Roman" w:hAnsi="Times New Roman" w:cs="Times New Roman"/>
          <w:i w:val="0"/>
          <w:iCs w:val="0"/>
          <w:color w:val="auto"/>
          <w:sz w:val="24"/>
          <w:szCs w:val="24"/>
        </w:rPr>
      </w:pPr>
      <w:bookmarkStart w:id="7" w:name="X02ec8e4ecd1c5af181da46756d8115daf10f3b9"/>
      <w:r>
        <w:rPr>
          <w:rFonts w:hint="default" w:ascii="Times New Roman" w:hAnsi="Times New Roman" w:cs="Times New Roman"/>
          <w:i w:val="0"/>
          <w:iCs w:val="0"/>
          <w:color w:val="auto"/>
          <w:sz w:val="24"/>
          <w:szCs w:val="24"/>
        </w:rPr>
        <w:t>6. Security Requirements Summary</w:t>
      </w:r>
    </w:p>
    <w:tbl>
      <w:tblPr>
        <w:tblStyle w:val="28"/>
        <w:tblW w:w="0" w:type="pct"/>
        <w:tblInd w:w="0" w:type="dxa"/>
        <w:tblLayout w:type="autofit"/>
        <w:tblCellMar>
          <w:top w:w="0" w:type="dxa"/>
          <w:left w:w="108" w:type="dxa"/>
          <w:bottom w:w="0" w:type="dxa"/>
          <w:right w:w="108" w:type="dxa"/>
        </w:tblCellMar>
      </w:tblPr>
      <w:tblGrid>
        <w:gridCol w:w="2380"/>
        <w:gridCol w:w="5698"/>
      </w:tblGrid>
      <w:tr w14:paraId="1E772E0B">
        <w:tblPrEx>
          <w:tblCellMar>
            <w:top w:w="0" w:type="dxa"/>
            <w:left w:w="108" w:type="dxa"/>
            <w:bottom w:w="0" w:type="dxa"/>
            <w:right w:w="108" w:type="dxa"/>
          </w:tblCellMar>
        </w:tblPrEx>
        <w:tc>
          <w:p w14:paraId="04C50CCC">
            <w:pPr>
              <w:pStyle w:val="24"/>
              <w:jc w:val="left"/>
              <w:rPr>
                <w:rFonts w:hint="default" w:ascii="Times New Roman" w:hAnsi="Times New Roman" w:cs="Times New Roman"/>
                <w:b/>
                <w:bCs/>
                <w:i w:val="0"/>
                <w:iCs w:val="0"/>
                <w:color w:val="auto"/>
              </w:rPr>
            </w:pPr>
            <w:r>
              <w:rPr>
                <w:rFonts w:hint="default" w:ascii="Times New Roman" w:hAnsi="Times New Roman" w:cs="Times New Roman"/>
                <w:b/>
                <w:bCs/>
                <w:i w:val="0"/>
                <w:iCs w:val="0"/>
                <w:color w:val="auto"/>
                <w:sz w:val="22"/>
                <w:szCs w:val="22"/>
              </w:rPr>
              <w:t>Requirement</w:t>
            </w:r>
          </w:p>
        </w:tc>
        <w:tc>
          <w:p w14:paraId="4AC92662">
            <w:pPr>
              <w:pStyle w:val="24"/>
              <w:jc w:val="left"/>
              <w:rPr>
                <w:rFonts w:hint="default" w:ascii="Times New Roman" w:hAnsi="Times New Roman" w:cs="Times New Roman"/>
                <w:b/>
                <w:bCs/>
                <w:i w:val="0"/>
                <w:iCs w:val="0"/>
                <w:color w:val="auto"/>
              </w:rPr>
            </w:pPr>
            <w:r>
              <w:rPr>
                <w:rFonts w:hint="default" w:ascii="Times New Roman" w:hAnsi="Times New Roman" w:cs="Times New Roman"/>
                <w:b/>
                <w:bCs/>
                <w:i w:val="0"/>
                <w:iCs w:val="0"/>
                <w:color w:val="auto"/>
                <w:sz w:val="22"/>
                <w:szCs w:val="22"/>
              </w:rPr>
              <w:t>Implementation Mechanism</w:t>
            </w:r>
          </w:p>
        </w:tc>
      </w:tr>
      <w:tr w14:paraId="76081A85">
        <w:tblPrEx>
          <w:tblCellMar>
            <w:top w:w="0" w:type="dxa"/>
            <w:left w:w="108" w:type="dxa"/>
            <w:bottom w:w="0" w:type="dxa"/>
            <w:right w:w="108" w:type="dxa"/>
          </w:tblCellMar>
        </w:tblPrEx>
        <w:tc>
          <w:p w14:paraId="04A67E36">
            <w:pPr>
              <w:pStyle w:val="24"/>
              <w:jc w:val="left"/>
              <w:rPr>
                <w:rFonts w:hint="default" w:ascii="Times New Roman" w:hAnsi="Times New Roman" w:cs="Times New Roman"/>
                <w:i w:val="0"/>
                <w:iCs w:val="0"/>
                <w:color w:val="auto"/>
              </w:rPr>
            </w:pPr>
            <w:r>
              <w:rPr>
                <w:rFonts w:hint="default" w:ascii="Times New Roman" w:hAnsi="Times New Roman" w:cs="Times New Roman"/>
                <w:b w:val="0"/>
                <w:bCs w:val="0"/>
                <w:i w:val="0"/>
                <w:iCs w:val="0"/>
                <w:color w:val="auto"/>
                <w:sz w:val="22"/>
                <w:szCs w:val="22"/>
              </w:rPr>
              <w:t>Confidentiality (SR1)</w:t>
            </w:r>
          </w:p>
        </w:tc>
        <w:tc>
          <w:p w14:paraId="39C5CA6B">
            <w:pPr>
              <w:pStyle w:val="24"/>
              <w:jc w:val="left"/>
              <w:rPr>
                <w:rFonts w:hint="default" w:ascii="Times New Roman" w:hAnsi="Times New Roman" w:cs="Times New Roman"/>
                <w:i w:val="0"/>
                <w:iCs w:val="0"/>
                <w:color w:val="auto"/>
              </w:rPr>
            </w:pPr>
            <w:r>
              <w:rPr>
                <w:rFonts w:hint="default" w:ascii="Times New Roman" w:hAnsi="Times New Roman" w:cs="Times New Roman"/>
                <w:b w:val="0"/>
                <w:bCs w:val="0"/>
                <w:i w:val="0"/>
                <w:iCs w:val="0"/>
                <w:color w:val="auto"/>
                <w:sz w:val="22"/>
                <w:szCs w:val="22"/>
              </w:rPr>
              <w:t>Session key + AEAD encryption</w:t>
            </w:r>
          </w:p>
        </w:tc>
      </w:tr>
      <w:tr w14:paraId="7C470DE3">
        <w:tblPrEx>
          <w:tblCellMar>
            <w:top w:w="0" w:type="dxa"/>
            <w:left w:w="108" w:type="dxa"/>
            <w:bottom w:w="0" w:type="dxa"/>
            <w:right w:w="108" w:type="dxa"/>
          </w:tblCellMar>
        </w:tblPrEx>
        <w:tc>
          <w:p w14:paraId="4FB1B354">
            <w:pPr>
              <w:pStyle w:val="24"/>
              <w:jc w:val="left"/>
              <w:rPr>
                <w:rFonts w:hint="default" w:ascii="Times New Roman" w:hAnsi="Times New Roman" w:cs="Times New Roman"/>
                <w:i w:val="0"/>
                <w:iCs w:val="0"/>
                <w:color w:val="auto"/>
              </w:rPr>
            </w:pPr>
            <w:r>
              <w:rPr>
                <w:rFonts w:hint="default" w:ascii="Times New Roman" w:hAnsi="Times New Roman" w:cs="Times New Roman"/>
                <w:b w:val="0"/>
                <w:bCs w:val="0"/>
                <w:i w:val="0"/>
                <w:iCs w:val="0"/>
                <w:color w:val="auto"/>
                <w:sz w:val="22"/>
                <w:szCs w:val="22"/>
              </w:rPr>
              <w:t>Integrity (SR2)</w:t>
            </w:r>
          </w:p>
        </w:tc>
        <w:tc>
          <w:p w14:paraId="742FF485">
            <w:pPr>
              <w:pStyle w:val="24"/>
              <w:jc w:val="left"/>
              <w:rPr>
                <w:rFonts w:hint="default" w:ascii="Times New Roman" w:hAnsi="Times New Roman" w:cs="Times New Roman"/>
                <w:i w:val="0"/>
                <w:iCs w:val="0"/>
                <w:color w:val="auto"/>
              </w:rPr>
            </w:pPr>
            <w:r>
              <w:rPr>
                <w:rFonts w:hint="default" w:ascii="Times New Roman" w:hAnsi="Times New Roman" w:cs="Times New Roman"/>
                <w:b w:val="0"/>
                <w:bCs w:val="0"/>
                <w:i w:val="0"/>
                <w:iCs w:val="0"/>
                <w:color w:val="auto"/>
                <w:sz w:val="22"/>
                <w:szCs w:val="22"/>
              </w:rPr>
              <w:t>AEAD authentication tag</w:t>
            </w:r>
          </w:p>
        </w:tc>
      </w:tr>
      <w:tr w14:paraId="13E776EC">
        <w:tblPrEx>
          <w:tblCellMar>
            <w:top w:w="0" w:type="dxa"/>
            <w:left w:w="108" w:type="dxa"/>
            <w:bottom w:w="0" w:type="dxa"/>
            <w:right w:w="108" w:type="dxa"/>
          </w:tblCellMar>
        </w:tblPrEx>
        <w:tc>
          <w:p w14:paraId="3E75B0EB">
            <w:pPr>
              <w:pStyle w:val="24"/>
              <w:jc w:val="left"/>
              <w:rPr>
                <w:rFonts w:hint="default" w:ascii="Times New Roman" w:hAnsi="Times New Roman" w:cs="Times New Roman"/>
                <w:i w:val="0"/>
                <w:iCs w:val="0"/>
                <w:color w:val="auto"/>
              </w:rPr>
            </w:pPr>
            <w:r>
              <w:rPr>
                <w:rFonts w:hint="default" w:ascii="Times New Roman" w:hAnsi="Times New Roman" w:cs="Times New Roman"/>
                <w:b w:val="0"/>
                <w:bCs w:val="0"/>
                <w:i w:val="0"/>
                <w:iCs w:val="0"/>
                <w:color w:val="auto"/>
                <w:sz w:val="22"/>
                <w:szCs w:val="22"/>
              </w:rPr>
              <w:t>Authenticity (SR3)</w:t>
            </w:r>
          </w:p>
        </w:tc>
        <w:tc>
          <w:p w14:paraId="18DDD9AE">
            <w:pPr>
              <w:pStyle w:val="24"/>
              <w:jc w:val="left"/>
              <w:rPr>
                <w:rFonts w:hint="default" w:ascii="Times New Roman" w:hAnsi="Times New Roman" w:cs="Times New Roman"/>
                <w:i w:val="0"/>
                <w:iCs w:val="0"/>
                <w:color w:val="auto"/>
              </w:rPr>
            </w:pPr>
            <w:r>
              <w:rPr>
                <w:rFonts w:hint="default" w:ascii="Times New Roman" w:hAnsi="Times New Roman" w:cs="Times New Roman"/>
                <w:b w:val="0"/>
                <w:bCs w:val="0"/>
                <w:i w:val="0"/>
                <w:iCs w:val="0"/>
                <w:color w:val="auto"/>
                <w:sz w:val="22"/>
                <w:szCs w:val="22"/>
              </w:rPr>
              <w:t>Identity‑signed handshake + AEAD shared‑key authentication</w:t>
            </w:r>
          </w:p>
        </w:tc>
      </w:tr>
      <w:tr w14:paraId="005ADD88">
        <w:tblPrEx>
          <w:tblCellMar>
            <w:top w:w="0" w:type="dxa"/>
            <w:left w:w="108" w:type="dxa"/>
            <w:bottom w:w="0" w:type="dxa"/>
            <w:right w:w="108" w:type="dxa"/>
          </w:tblCellMar>
        </w:tblPrEx>
        <w:tc>
          <w:p w14:paraId="1BA83B1F">
            <w:pPr>
              <w:pStyle w:val="24"/>
              <w:jc w:val="left"/>
              <w:rPr>
                <w:rFonts w:hint="default" w:ascii="Times New Roman" w:hAnsi="Times New Roman" w:cs="Times New Roman"/>
                <w:i w:val="0"/>
                <w:iCs w:val="0"/>
                <w:color w:val="auto"/>
              </w:rPr>
            </w:pPr>
            <w:r>
              <w:rPr>
                <w:rFonts w:hint="default" w:ascii="Times New Roman" w:hAnsi="Times New Roman" w:cs="Times New Roman"/>
                <w:b w:val="0"/>
                <w:bCs w:val="0"/>
                <w:i w:val="0"/>
                <w:iCs w:val="0"/>
                <w:color w:val="auto"/>
                <w:sz w:val="22"/>
                <w:szCs w:val="22"/>
              </w:rPr>
              <w:t>Replay Protection (SR4)</w:t>
            </w:r>
          </w:p>
        </w:tc>
        <w:tc>
          <w:p w14:paraId="3DCFFCAC">
            <w:pPr>
              <w:pStyle w:val="24"/>
              <w:jc w:val="left"/>
              <w:rPr>
                <w:rFonts w:hint="default" w:ascii="Times New Roman" w:hAnsi="Times New Roman" w:cs="Times New Roman"/>
                <w:i w:val="0"/>
                <w:iCs w:val="0"/>
                <w:color w:val="auto"/>
              </w:rPr>
            </w:pPr>
            <w:r>
              <w:rPr>
                <w:rFonts w:hint="default" w:ascii="Times New Roman" w:hAnsi="Times New Roman" w:cs="Times New Roman"/>
                <w:b w:val="0"/>
                <w:bCs w:val="0"/>
                <w:i w:val="0"/>
                <w:iCs w:val="0"/>
                <w:color w:val="auto"/>
                <w:sz w:val="22"/>
                <w:szCs w:val="22"/>
              </w:rPr>
              <w:t>Message counter + sliding window</w:t>
            </w:r>
          </w:p>
        </w:tc>
      </w:tr>
      <w:bookmarkEnd w:id="7"/>
    </w:tbl>
    <w:p w14:paraId="65F14CEF">
      <w:pPr>
        <w:keepNext w:val="0"/>
        <w:keepLines w:val="0"/>
        <w:pageBreakBefore w:val="0"/>
        <w:widowControl/>
        <w:kinsoku/>
        <w:wordWrap/>
        <w:overflowPunct/>
        <w:topLinePunct w:val="0"/>
        <w:autoSpaceDE/>
        <w:autoSpaceDN/>
        <w:bidi w:val="0"/>
        <w:adjustRightInd/>
        <w:snapToGrid/>
        <w:spacing w:after="0"/>
        <w:textAlignment w:val="auto"/>
        <w:rPr>
          <w:rFonts w:hint="default" w:ascii="Times New Roman" w:hAnsi="Times New Roman" w:cs="Times New Roman"/>
          <w:b w:val="0"/>
          <w:bCs w:val="0"/>
          <w:i w:val="0"/>
          <w:iCs w:val="0"/>
          <w:color w:val="auto"/>
        </w:rPr>
      </w:pPr>
    </w:p>
    <w:sectPr>
      <w:pgMar w:top="1344" w:right="1344" w:bottom="1344" w:left="1344"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71315DCA"/>
    <w:multiLevelType w:val="multilevel"/>
    <w:tmpl w:val="71315DCA"/>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300E307E"/>
    <w:rsid w:val="3C5B60B0"/>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character" w:customStyle="1" w:styleId="37">
    <w:name w:val="Section Number"/>
    <w:basedOn w:val="21"/>
    <w:qFormat/>
    <w:uiPriority w:val="0"/>
  </w:style>
  <w:style w:type="paragraph" w:customStyle="1" w:styleId="38">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9">
    <w:name w:val="KeywordTok"/>
    <w:basedOn w:val="35"/>
    <w:qFormat/>
    <w:uiPriority w:val="0"/>
    <w:rPr>
      <w:b/>
      <w:color w:val="007020"/>
    </w:rPr>
  </w:style>
  <w:style w:type="character" w:customStyle="1" w:styleId="40">
    <w:name w:val="DataTypeTok"/>
    <w:basedOn w:val="35"/>
    <w:qFormat/>
    <w:uiPriority w:val="0"/>
    <w:rPr>
      <w:color w:val="902000"/>
    </w:rPr>
  </w:style>
  <w:style w:type="character" w:customStyle="1" w:styleId="41">
    <w:name w:val="DecValTok"/>
    <w:basedOn w:val="35"/>
    <w:qFormat/>
    <w:uiPriority w:val="0"/>
    <w:rPr>
      <w:color w:val="40A070"/>
    </w:rPr>
  </w:style>
  <w:style w:type="character" w:customStyle="1" w:styleId="42">
    <w:name w:val="BaseNTok"/>
    <w:basedOn w:val="35"/>
    <w:qFormat/>
    <w:uiPriority w:val="0"/>
    <w:rPr>
      <w:color w:val="40A070"/>
    </w:rPr>
  </w:style>
  <w:style w:type="character" w:customStyle="1" w:styleId="43">
    <w:name w:val="FloatTok"/>
    <w:basedOn w:val="35"/>
    <w:qFormat/>
    <w:uiPriority w:val="0"/>
    <w:rPr>
      <w:color w:val="40A070"/>
    </w:rPr>
  </w:style>
  <w:style w:type="character" w:customStyle="1" w:styleId="44">
    <w:name w:val="ConstantTok"/>
    <w:basedOn w:val="35"/>
    <w:qFormat/>
    <w:uiPriority w:val="0"/>
    <w:rPr>
      <w:color w:val="880000"/>
    </w:rPr>
  </w:style>
  <w:style w:type="character" w:customStyle="1" w:styleId="45">
    <w:name w:val="CharTok"/>
    <w:basedOn w:val="35"/>
    <w:qFormat/>
    <w:uiPriority w:val="0"/>
    <w:rPr>
      <w:color w:val="4070A0"/>
    </w:rPr>
  </w:style>
  <w:style w:type="character" w:customStyle="1" w:styleId="46">
    <w:name w:val="SpecialCharTok"/>
    <w:basedOn w:val="35"/>
    <w:qFormat/>
    <w:uiPriority w:val="0"/>
    <w:rPr>
      <w:color w:val="4070A0"/>
    </w:rPr>
  </w:style>
  <w:style w:type="character" w:customStyle="1" w:styleId="47">
    <w:name w:val="StringTok"/>
    <w:basedOn w:val="35"/>
    <w:qFormat/>
    <w:uiPriority w:val="0"/>
    <w:rPr>
      <w:color w:val="4070A0"/>
    </w:rPr>
  </w:style>
  <w:style w:type="character" w:customStyle="1" w:styleId="48">
    <w:name w:val="VerbatimStringTok"/>
    <w:basedOn w:val="35"/>
    <w:qFormat/>
    <w:uiPriority w:val="0"/>
    <w:rPr>
      <w:color w:val="4070A0"/>
    </w:rPr>
  </w:style>
  <w:style w:type="character" w:customStyle="1" w:styleId="49">
    <w:name w:val="SpecialStringTok"/>
    <w:basedOn w:val="35"/>
    <w:qFormat/>
    <w:uiPriority w:val="0"/>
    <w:rPr>
      <w:color w:val="BB6688"/>
    </w:rPr>
  </w:style>
  <w:style w:type="character" w:customStyle="1" w:styleId="50">
    <w:name w:val="ImportTok"/>
    <w:basedOn w:val="35"/>
    <w:qFormat/>
    <w:uiPriority w:val="0"/>
  </w:style>
  <w:style w:type="character" w:customStyle="1" w:styleId="51">
    <w:name w:val="CommentTok"/>
    <w:basedOn w:val="35"/>
    <w:qFormat/>
    <w:uiPriority w:val="0"/>
    <w:rPr>
      <w:i/>
      <w:color w:val="60A0B0"/>
    </w:rPr>
  </w:style>
  <w:style w:type="character" w:customStyle="1" w:styleId="52">
    <w:name w:val="DocumentationTok"/>
    <w:basedOn w:val="35"/>
    <w:qFormat/>
    <w:uiPriority w:val="0"/>
    <w:rPr>
      <w:i/>
      <w:color w:val="BA2121"/>
    </w:rPr>
  </w:style>
  <w:style w:type="character" w:customStyle="1" w:styleId="53">
    <w:name w:val="AnnotationTok"/>
    <w:basedOn w:val="35"/>
    <w:qFormat/>
    <w:uiPriority w:val="0"/>
    <w:rPr>
      <w:b/>
      <w:i/>
      <w:color w:val="60A0B0"/>
    </w:rPr>
  </w:style>
  <w:style w:type="character" w:customStyle="1" w:styleId="54">
    <w:name w:val="CommentVarTok"/>
    <w:basedOn w:val="35"/>
    <w:qFormat/>
    <w:uiPriority w:val="0"/>
    <w:rPr>
      <w:b/>
      <w:i/>
      <w:color w:val="60A0B0"/>
    </w:rPr>
  </w:style>
  <w:style w:type="character" w:customStyle="1" w:styleId="55">
    <w:name w:val="OtherTok"/>
    <w:basedOn w:val="35"/>
    <w:qFormat/>
    <w:uiPriority w:val="0"/>
    <w:rPr>
      <w:color w:val="007020"/>
    </w:rPr>
  </w:style>
  <w:style w:type="character" w:customStyle="1" w:styleId="56">
    <w:name w:val="FunctionTok"/>
    <w:basedOn w:val="35"/>
    <w:qFormat/>
    <w:uiPriority w:val="0"/>
    <w:rPr>
      <w:color w:val="06287E"/>
    </w:rPr>
  </w:style>
  <w:style w:type="character" w:customStyle="1" w:styleId="57">
    <w:name w:val="VariableTok"/>
    <w:basedOn w:val="35"/>
    <w:qFormat/>
    <w:uiPriority w:val="0"/>
    <w:rPr>
      <w:color w:val="19177C"/>
    </w:rPr>
  </w:style>
  <w:style w:type="character" w:customStyle="1" w:styleId="58">
    <w:name w:val="ControlFlowTok"/>
    <w:basedOn w:val="35"/>
    <w:qFormat/>
    <w:uiPriority w:val="0"/>
    <w:rPr>
      <w:b/>
      <w:color w:val="007020"/>
    </w:rPr>
  </w:style>
  <w:style w:type="character" w:customStyle="1" w:styleId="59">
    <w:name w:val="OperatorTok"/>
    <w:basedOn w:val="35"/>
    <w:qFormat/>
    <w:uiPriority w:val="0"/>
    <w:rPr>
      <w:color w:val="666666"/>
    </w:rPr>
  </w:style>
  <w:style w:type="character" w:customStyle="1" w:styleId="60">
    <w:name w:val="BuiltInTok"/>
    <w:basedOn w:val="35"/>
    <w:qFormat/>
    <w:uiPriority w:val="0"/>
  </w:style>
  <w:style w:type="character" w:customStyle="1" w:styleId="61">
    <w:name w:val="ExtensionTok"/>
    <w:basedOn w:val="35"/>
    <w:qFormat/>
    <w:uiPriority w:val="0"/>
  </w:style>
  <w:style w:type="character" w:customStyle="1" w:styleId="62">
    <w:name w:val="PreprocessorTok"/>
    <w:basedOn w:val="35"/>
    <w:qFormat/>
    <w:uiPriority w:val="0"/>
    <w:rPr>
      <w:color w:val="BC7A00"/>
    </w:rPr>
  </w:style>
  <w:style w:type="character" w:customStyle="1" w:styleId="63">
    <w:name w:val="AttributeTok"/>
    <w:basedOn w:val="35"/>
    <w:qFormat/>
    <w:uiPriority w:val="0"/>
    <w:rPr>
      <w:color w:val="7D9029"/>
    </w:rPr>
  </w:style>
  <w:style w:type="character" w:customStyle="1" w:styleId="64">
    <w:name w:val="RegionMarkerTok"/>
    <w:basedOn w:val="35"/>
    <w:qFormat/>
    <w:uiPriority w:val="0"/>
  </w:style>
  <w:style w:type="character" w:customStyle="1" w:styleId="65">
    <w:name w:val="InformationTok"/>
    <w:basedOn w:val="35"/>
    <w:qFormat/>
    <w:uiPriority w:val="0"/>
    <w:rPr>
      <w:b/>
      <w:i/>
      <w:color w:val="60A0B0"/>
    </w:rPr>
  </w:style>
  <w:style w:type="character" w:customStyle="1" w:styleId="66">
    <w:name w:val="WarningTok"/>
    <w:basedOn w:val="35"/>
    <w:qFormat/>
    <w:uiPriority w:val="0"/>
    <w:rPr>
      <w:b/>
      <w:i/>
      <w:color w:val="60A0B0"/>
    </w:rPr>
  </w:style>
  <w:style w:type="character" w:customStyle="1" w:styleId="67">
    <w:name w:val="AlertTok"/>
    <w:basedOn w:val="35"/>
    <w:qFormat/>
    <w:uiPriority w:val="0"/>
    <w:rPr>
      <w:b/>
      <w:color w:val="FF0000"/>
    </w:rPr>
  </w:style>
  <w:style w:type="character" w:customStyle="1" w:styleId="68">
    <w:name w:val="ErrorTok"/>
    <w:basedOn w:val="35"/>
    <w:qFormat/>
    <w:uiPriority w:val="0"/>
    <w:rPr>
      <w:b/>
      <w:color w:val="FF0000"/>
    </w:rPr>
  </w:style>
  <w:style w:type="character" w:customStyle="1" w:styleId="69">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674</Words>
  <Characters>3991</Characters>
  <Lines>12</Lines>
  <Paragraphs>8</Paragraphs>
  <TotalTime>15</TotalTime>
  <ScaleCrop>false</ScaleCrop>
  <LinksUpToDate>false</LinksUpToDate>
  <CharactersWithSpaces>4610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2026-06-18T06:34:00Z</dcterms:created>
  <dc:creator>泽喵</dc:creator>
  <cp:lastModifiedBy> 嘿</cp:lastModifiedBy>
  <dcterms:modified xsi:type="dcterms:W3CDTF">2026-06-20T06:54:19Z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eyJoZGlkIjoiZjRmZjAyYjZjMjlmYzBhNzg2ZDIzODEyZjVlN2M1ZTIiLCJ1c2VySWQiOiIzMjU5OTc5MjMifQ==</vt:lpwstr>
  </property>
  <property fmtid="{D5CDD505-2E9C-101B-9397-08002B2CF9AE}" pid="3" name="KSOProductBuildVer">
    <vt:lpwstr>2052-12.1.0.26895</vt:lpwstr>
  </property>
  <property fmtid="{D5CDD505-2E9C-101B-9397-08002B2CF9AE}" pid="4" name="ICV">
    <vt:lpwstr>5F78C73BC96349E8961E3DD455AC8066_12</vt:lpwstr>
  </property>
</Properties>
</file>