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6867" w14:textId="77777777" w:rsidR="00D743A3" w:rsidRPr="00042024" w:rsidRDefault="00000000">
      <w:pPr>
        <w:pStyle w:val="1"/>
        <w:spacing w:line="360" w:lineRule="auto"/>
        <w:jc w:val="center"/>
        <w:rPr>
          <w:color w:val="auto"/>
        </w:rPr>
      </w:pPr>
      <w:bookmarkStart w:id="0" w:name="新质生产力赋能共同富裕以河南省兰考县为例"/>
      <w:r w:rsidRPr="00042024">
        <w:rPr>
          <w:rFonts w:ascii="黑体" w:eastAsia="黑体" w:hAnsi="黑体" w:hint="eastAsia"/>
          <w:b/>
          <w:color w:val="auto"/>
          <w:sz w:val="32"/>
        </w:rPr>
        <w:t>新质生产力赋能共同富裕——以河南省兰考县为例</w:t>
      </w:r>
    </w:p>
    <w:p w14:paraId="4A6AF1C9" w14:textId="77777777" w:rsidR="00D743A3" w:rsidRPr="00042024" w:rsidRDefault="00000000">
      <w:pPr>
        <w:pStyle w:val="2"/>
        <w:spacing w:line="360" w:lineRule="auto"/>
        <w:ind w:firstLine="560"/>
        <w:rPr>
          <w:color w:val="auto"/>
        </w:rPr>
      </w:pPr>
      <w:bookmarkStart w:id="1" w:name="引言"/>
      <w:r w:rsidRPr="00042024">
        <w:rPr>
          <w:rFonts w:ascii="黑体" w:eastAsia="黑体" w:hAnsi="黑体" w:hint="eastAsia"/>
          <w:color w:val="auto"/>
          <w:sz w:val="28"/>
        </w:rPr>
        <w:t>引言</w:t>
      </w:r>
    </w:p>
    <w:p w14:paraId="03CA98F8" w14:textId="77777777" w:rsidR="00D743A3" w:rsidRPr="00042024" w:rsidRDefault="00000000">
      <w:pPr>
        <w:pStyle w:val="FirstParagraph"/>
        <w:spacing w:line="360" w:lineRule="auto"/>
        <w:ind w:firstLine="480"/>
      </w:pPr>
      <w:r w:rsidRPr="00042024">
        <w:rPr>
          <w:rFonts w:ascii="宋体" w:eastAsia="宋体" w:hAnsi="宋体" w:hint="eastAsia"/>
        </w:rPr>
        <w:t>共同富裕是中国式现代化的重要目标，但中西部农业县如何在资源禀赋有限、产业基础薄弱的条件下实现跨越式发展，仍是亟待破解的现实难题。新质生产力概念的提出，为理解这一问题提供了新的视角。本文以河南省兰考县为研究对象，围绕”新质生产力如何赋能县域共同富裕”这一核心问题，从理论依据、实践路径、实践成效和经验启示四个维度展开分析。研究采用文献分析、案例研究与数据验证相结合的方法，数据来源包括《开封统计年鉴（2024）》、兰考县人民政府公开统计数据、2024-2025年主流媒体实地调研报道及相关学术文献，力求实现理论、事实与数据的相互印证。</w:t>
      </w:r>
    </w:p>
    <w:p w14:paraId="0E5B199E" w14:textId="77777777" w:rsidR="00D743A3" w:rsidRPr="00042024" w:rsidRDefault="00000000">
      <w:r w:rsidRPr="00042024">
        <w:pict w14:anchorId="3F9F4CEA">
          <v:rect id="_x0000_i1025" style="width:0;height:1.5pt" o:hralign="center" o:hrstd="t" o:hr="t"/>
        </w:pict>
      </w:r>
    </w:p>
    <w:p w14:paraId="57F28CBA" w14:textId="77777777" w:rsidR="00D743A3" w:rsidRPr="00042024" w:rsidRDefault="00000000">
      <w:pPr>
        <w:pStyle w:val="2"/>
        <w:spacing w:line="360" w:lineRule="auto"/>
        <w:ind w:firstLine="560"/>
        <w:rPr>
          <w:color w:val="auto"/>
        </w:rPr>
      </w:pPr>
      <w:bookmarkStart w:id="2" w:name="第一章-理论依据"/>
      <w:bookmarkEnd w:id="1"/>
      <w:r w:rsidRPr="00042024">
        <w:rPr>
          <w:rFonts w:ascii="黑体" w:eastAsia="黑体" w:hAnsi="黑体" w:hint="eastAsia"/>
          <w:color w:val="auto"/>
          <w:sz w:val="28"/>
        </w:rPr>
        <w:t>第一章</w:t>
      </w:r>
      <w:r w:rsidRPr="00042024">
        <w:rPr>
          <w:rFonts w:ascii="黑体" w:eastAsia="黑体" w:hAnsi="黑体"/>
          <w:color w:val="auto"/>
          <w:sz w:val="28"/>
        </w:rPr>
        <w:t xml:space="preserve"> </w:t>
      </w:r>
      <w:r w:rsidRPr="00042024">
        <w:rPr>
          <w:rFonts w:ascii="黑体" w:eastAsia="黑体" w:hAnsi="黑体" w:hint="eastAsia"/>
          <w:color w:val="auto"/>
          <w:sz w:val="28"/>
        </w:rPr>
        <w:t>理论依据</w:t>
      </w:r>
    </w:p>
    <w:p w14:paraId="0F0D9C9B" w14:textId="77777777" w:rsidR="00D743A3" w:rsidRPr="00042024" w:rsidRDefault="00000000">
      <w:pPr>
        <w:pStyle w:val="3"/>
        <w:spacing w:line="360" w:lineRule="auto"/>
        <w:ind w:firstLine="480"/>
        <w:rPr>
          <w:color w:val="auto"/>
        </w:rPr>
      </w:pPr>
      <w:bookmarkStart w:id="3" w:name="新质生产力的科学内涵"/>
      <w:r w:rsidRPr="00042024">
        <w:rPr>
          <w:rFonts w:ascii="黑体" w:eastAsia="黑体" w:hAnsi="黑体"/>
          <w:b/>
          <w:color w:val="auto"/>
          <w:sz w:val="24"/>
        </w:rPr>
        <w:t xml:space="preserve">1.1 </w:t>
      </w:r>
      <w:r w:rsidRPr="00042024">
        <w:rPr>
          <w:rFonts w:ascii="黑体" w:eastAsia="黑体" w:hAnsi="黑体" w:hint="eastAsia"/>
          <w:b/>
          <w:color w:val="auto"/>
          <w:sz w:val="24"/>
        </w:rPr>
        <w:t>新质生产力的科学内涵</w:t>
      </w:r>
    </w:p>
    <w:p w14:paraId="183DA267" w14:textId="77777777" w:rsidR="00D743A3" w:rsidRPr="00042024" w:rsidRDefault="00000000">
      <w:pPr>
        <w:pStyle w:val="FirstParagraph"/>
        <w:spacing w:line="360" w:lineRule="auto"/>
        <w:ind w:firstLine="480"/>
      </w:pPr>
      <w:r w:rsidRPr="00042024">
        <w:rPr>
          <w:rFonts w:ascii="宋体" w:eastAsia="宋体" w:hAnsi="宋体" w:hint="eastAsia"/>
        </w:rPr>
        <w:t>新质生产力是以科技创新为核心驱动力，以数字化、绿色化、人才化为主要特征，以全要素生产率大幅提升为标志的先进生产力形态。与依靠要素规模扩张的传统生产力不同，新质生产力强调技术革命性突破、生产要素创新性配置和产业深度转型升级三者之间的联动（陈双龙，2026）。这四个维度并非简单的并列关系：科技创新是动力源，为其他三个维度提供技术基础；数字赋能是传导机制，将技术创新扩散到生产全过程；绿色发展是约束条件，界定了生产力发展的可持续边界；人才驱动是支撑系统，为前三者提供人力资本保障。四者构成一个”动力—传导—边界—支撑”的功能结构，而非平面的概念罗列。</w:t>
      </w:r>
    </w:p>
    <w:p w14:paraId="0F8C16D2" w14:textId="77777777" w:rsidR="00D743A3" w:rsidRPr="00042024" w:rsidRDefault="00000000">
      <w:pPr>
        <w:pStyle w:val="3"/>
        <w:spacing w:line="360" w:lineRule="auto"/>
        <w:ind w:firstLine="480"/>
        <w:rPr>
          <w:color w:val="auto"/>
        </w:rPr>
      </w:pPr>
      <w:bookmarkStart w:id="4" w:name="新质生产力促进共同富裕的作用机制"/>
      <w:bookmarkEnd w:id="3"/>
      <w:r w:rsidRPr="00042024">
        <w:rPr>
          <w:rFonts w:ascii="黑体" w:eastAsia="黑体" w:hAnsi="黑体"/>
          <w:b/>
          <w:color w:val="auto"/>
          <w:sz w:val="24"/>
        </w:rPr>
        <w:lastRenderedPageBreak/>
        <w:t xml:space="preserve">1.2 </w:t>
      </w:r>
      <w:r w:rsidRPr="00042024">
        <w:rPr>
          <w:rFonts w:ascii="黑体" w:eastAsia="黑体" w:hAnsi="黑体" w:hint="eastAsia"/>
          <w:b/>
          <w:color w:val="auto"/>
          <w:sz w:val="24"/>
        </w:rPr>
        <w:t>新质生产力促进共同富裕的作用机制</w:t>
      </w:r>
    </w:p>
    <w:p w14:paraId="0C54421F" w14:textId="77777777" w:rsidR="00D743A3" w:rsidRPr="00042024" w:rsidRDefault="00000000">
      <w:pPr>
        <w:pStyle w:val="FirstParagraph"/>
        <w:spacing w:line="360" w:lineRule="auto"/>
        <w:ind w:firstLine="480"/>
      </w:pPr>
      <w:r w:rsidRPr="00042024">
        <w:rPr>
          <w:rFonts w:ascii="宋体" w:eastAsia="宋体" w:hAnsi="宋体" w:hint="eastAsia"/>
        </w:rPr>
        <w:t>新质生产力推动共同富裕的机制可概括为一条因果链：技术投入驱动要素重组，要素重组提升生产效率，效率提升扩展经济机会，机会扩展最终转化为收入增长与公共服务的改善，进而缩小城乡差距。具体而言，有四条传导路径。其一，农业现代化路径：智能装备替代传统劳力，实现降本增效，直接提升农业生产率。其二，产业融合路径：数字技术打破一二三产业边界，通过”农业+加工+文旅+电商”延长价值链、创造高附加值岗位。其三，资源优化路径：数字平台和能源互联网降低信息不对称和交易成本，提高县域经济整体运行效率。其四，收入多元化路径：效率提升带来经营性收入，产业融合创造工资性就业，光伏等项目提供财产性收入，形成多渠道增收格局。何蒲明、罗嘉怡（2025）基于长江经济带面板数据的实证研究表明，三产融合是农业新质生产力促进增收的中介路径，且存在”经济发展水平跨越门槛后加速”的非线性效应。</w:t>
      </w:r>
    </w:p>
    <w:p w14:paraId="17794BD9" w14:textId="77777777" w:rsidR="00D743A3" w:rsidRPr="00042024" w:rsidRDefault="00000000">
      <w:pPr>
        <w:pStyle w:val="3"/>
        <w:spacing w:line="360" w:lineRule="auto"/>
        <w:ind w:firstLine="480"/>
        <w:rPr>
          <w:color w:val="auto"/>
        </w:rPr>
      </w:pPr>
      <w:bookmarkStart w:id="5" w:name="新质生产力实现共同富裕的多元路径"/>
      <w:bookmarkEnd w:id="4"/>
      <w:r w:rsidRPr="00042024">
        <w:rPr>
          <w:rFonts w:ascii="黑体" w:eastAsia="黑体" w:hAnsi="黑体"/>
          <w:b/>
          <w:color w:val="auto"/>
          <w:sz w:val="24"/>
        </w:rPr>
        <w:t xml:space="preserve">1.3 </w:t>
      </w:r>
      <w:r w:rsidRPr="00042024">
        <w:rPr>
          <w:rFonts w:ascii="黑体" w:eastAsia="黑体" w:hAnsi="黑体" w:hint="eastAsia"/>
          <w:b/>
          <w:color w:val="auto"/>
          <w:sz w:val="24"/>
        </w:rPr>
        <w:t>新质生产力实现共同富裕的多元路径</w:t>
      </w:r>
    </w:p>
    <w:p w14:paraId="235F7A3B" w14:textId="77777777" w:rsidR="00D743A3" w:rsidRPr="00042024" w:rsidRDefault="00000000">
      <w:pPr>
        <w:pStyle w:val="FirstParagraph"/>
        <w:spacing w:line="360" w:lineRule="auto"/>
        <w:ind w:firstLine="480"/>
      </w:pPr>
      <w:r w:rsidRPr="00042024">
        <w:rPr>
          <w:rFonts w:ascii="宋体" w:eastAsia="宋体" w:hAnsi="宋体" w:hint="eastAsia"/>
        </w:rPr>
        <w:t>新质生产力驱动共同富裕并非单一模式。王海稳等（2026）基于30个省份面板数据的动态QCA分析显示，农业新质生产力驱动共同富裕不存在单一必要条件，而是通过多条等效路径组合实现，呈现”殊途同归”特征。数字基础设施对中部地区的推动作用明显强于东北地区，科技创新与绿色发展的组合在粮食主产区效果更显著。这意味着”因地制宜”不是口号，而是有实证支撑的政策原则。兰考作为中原农业大县，既无东部沿海的区位优势，也无西部地区的特殊政策，其”科技+数字+绿色+人才”四维模式恰恰验证了多维协同路径的可行性——这也意味着如果只做单一维度的推进，效果可能有限（王海稳等，2026）。</w:t>
      </w:r>
    </w:p>
    <w:p w14:paraId="20E0FE54" w14:textId="77777777" w:rsidR="00D743A3" w:rsidRPr="00042024" w:rsidRDefault="00000000">
      <w:pPr>
        <w:pStyle w:val="3"/>
        <w:spacing w:line="360" w:lineRule="auto"/>
        <w:ind w:firstLine="480"/>
        <w:rPr>
          <w:color w:val="auto"/>
        </w:rPr>
      </w:pPr>
      <w:bookmarkStart w:id="6" w:name="兰考案例的代表性"/>
      <w:bookmarkEnd w:id="5"/>
      <w:r w:rsidRPr="00042024">
        <w:rPr>
          <w:rFonts w:ascii="黑体" w:eastAsia="黑体" w:hAnsi="黑体"/>
          <w:b/>
          <w:color w:val="auto"/>
          <w:sz w:val="24"/>
        </w:rPr>
        <w:t xml:space="preserve">1.4 </w:t>
      </w:r>
      <w:r w:rsidRPr="00042024">
        <w:rPr>
          <w:rFonts w:ascii="黑体" w:eastAsia="黑体" w:hAnsi="黑体" w:hint="eastAsia"/>
          <w:b/>
          <w:color w:val="auto"/>
          <w:sz w:val="24"/>
        </w:rPr>
        <w:t>兰考案例的代表性</w:t>
      </w:r>
    </w:p>
    <w:p w14:paraId="7289AEA2" w14:textId="77777777" w:rsidR="00D743A3" w:rsidRPr="00042024" w:rsidRDefault="00000000">
      <w:pPr>
        <w:pStyle w:val="FirstParagraph"/>
        <w:spacing w:line="360" w:lineRule="auto"/>
        <w:ind w:firstLine="480"/>
      </w:pPr>
      <w:r w:rsidRPr="00042024">
        <w:rPr>
          <w:rFonts w:ascii="宋体" w:eastAsia="宋体" w:hAnsi="宋体" w:hint="eastAsia"/>
        </w:rPr>
        <w:t>选取兰考作为案例基于四重考量。第一，兰考是典型的河南农业大县，农业人口比重大、产业基础薄弱，其初始条件与全国大多数县域高度相似，研究发现具有可迁移性。第二，兰考是焦裕禄精神的发源地，在政治动员和群众组织方面具有独特优势，这是其他县域不完全具备的条件——在研究结论时需要将这一变量纳入考</w:t>
      </w:r>
      <w:r w:rsidRPr="00042024">
        <w:rPr>
          <w:rFonts w:ascii="宋体" w:eastAsia="宋体" w:hAnsi="宋体" w:hint="eastAsia"/>
        </w:rPr>
        <w:lastRenderedPageBreak/>
        <w:t>量。第三，兰考先后入选国家乡村振兴示范县和整县级高标准农田建设试点，制度创新（如”投融建运管”一体化模式）具有先行先试的探索性质。第四，从2008年到2025年，兰考GDP从不足百亿元增长至475.28亿元，实现了从国家级贫困县到区域发展典型的跃迁，为观察新质生产力的赋能效果提供了完整的时间序列。</w:t>
      </w:r>
    </w:p>
    <w:p w14:paraId="26FD800E" w14:textId="77777777" w:rsidR="00D743A3" w:rsidRPr="00042024" w:rsidRDefault="00000000">
      <w:r w:rsidRPr="00042024">
        <w:pict w14:anchorId="5D5690F6">
          <v:rect id="_x0000_i1026" style="width:0;height:1.5pt" o:hralign="center" o:hrstd="t" o:hr="t"/>
        </w:pict>
      </w:r>
    </w:p>
    <w:p w14:paraId="66264EA8" w14:textId="77777777" w:rsidR="00D743A3" w:rsidRPr="00042024" w:rsidRDefault="00000000">
      <w:pPr>
        <w:pStyle w:val="2"/>
        <w:spacing w:line="360" w:lineRule="auto"/>
        <w:ind w:firstLine="560"/>
        <w:rPr>
          <w:color w:val="auto"/>
        </w:rPr>
      </w:pPr>
      <w:bookmarkStart w:id="7" w:name="第二章-兰考实践"/>
      <w:bookmarkEnd w:id="2"/>
      <w:bookmarkEnd w:id="6"/>
      <w:r w:rsidRPr="00042024">
        <w:rPr>
          <w:rFonts w:ascii="黑体" w:eastAsia="黑体" w:hAnsi="黑体" w:hint="eastAsia"/>
          <w:color w:val="auto"/>
          <w:sz w:val="28"/>
        </w:rPr>
        <w:t>第二章</w:t>
      </w:r>
      <w:r w:rsidRPr="00042024">
        <w:rPr>
          <w:rFonts w:ascii="黑体" w:eastAsia="黑体" w:hAnsi="黑体"/>
          <w:color w:val="auto"/>
          <w:sz w:val="28"/>
        </w:rPr>
        <w:t xml:space="preserve"> </w:t>
      </w:r>
      <w:r w:rsidRPr="00042024">
        <w:rPr>
          <w:rFonts w:ascii="黑体" w:eastAsia="黑体" w:hAnsi="黑体" w:hint="eastAsia"/>
          <w:color w:val="auto"/>
          <w:sz w:val="28"/>
        </w:rPr>
        <w:t>兰考实践</w:t>
      </w:r>
    </w:p>
    <w:p w14:paraId="66A47E5C" w14:textId="77777777" w:rsidR="00D743A3" w:rsidRPr="00042024" w:rsidRDefault="00000000">
      <w:pPr>
        <w:pStyle w:val="3"/>
        <w:spacing w:line="360" w:lineRule="auto"/>
        <w:ind w:firstLine="480"/>
        <w:rPr>
          <w:color w:val="auto"/>
        </w:rPr>
      </w:pPr>
      <w:bookmarkStart w:id="8" w:name="科技赋能农业"/>
      <w:r w:rsidRPr="00042024">
        <w:rPr>
          <w:rFonts w:ascii="黑体" w:eastAsia="黑体" w:hAnsi="黑体"/>
          <w:b/>
          <w:color w:val="auto"/>
          <w:sz w:val="24"/>
        </w:rPr>
        <w:t xml:space="preserve">2.1 </w:t>
      </w:r>
      <w:r w:rsidRPr="00042024">
        <w:rPr>
          <w:rFonts w:ascii="黑体" w:eastAsia="黑体" w:hAnsi="黑体" w:hint="eastAsia"/>
          <w:b/>
          <w:color w:val="auto"/>
          <w:sz w:val="24"/>
        </w:rPr>
        <w:t>科技赋能农业</w:t>
      </w:r>
    </w:p>
    <w:p w14:paraId="4F908EE0" w14:textId="77777777" w:rsidR="00D743A3" w:rsidRPr="00042024" w:rsidRDefault="00000000">
      <w:pPr>
        <w:pStyle w:val="FirstParagraph"/>
        <w:spacing w:line="360" w:lineRule="auto"/>
        <w:ind w:firstLine="480"/>
      </w:pPr>
      <w:r w:rsidRPr="00042024">
        <w:rPr>
          <w:rFonts w:ascii="宋体" w:eastAsia="宋体" w:hAnsi="宋体" w:hint="eastAsia"/>
        </w:rPr>
        <w:t>兰考以整县级推进高标准农田建设试点为契机，构建了”空天地”一体化监测体系——卫星遥感进行作物长势监测，无人机巡航巡查获取高精度影像，物联网传感器实时采集土壤、气象数据，形成”精准感知—智能决策—精细执行”的技术闭环（开封网，2024）。具体实践中，中国移动联合九天大模型与DeepSeek推出了”万象耕耘”农业大模型，应用于农技问答、农情预警和智慧灌溉等场景；北斗导航农机实现耕、种、管、收全环节自动驾驶；无人机用于苗情监测和病虫害预警；机井”电子身份证”系统使维护响应效率明显提升。需要指出的是，上述技术目前主要集中在示范区约12.84万亩高标准农田范围内，普通农田的覆盖率有限，智慧农业尚未实现县域全覆盖。这也是当前农业科技推广面临的普遍问题。</w:t>
      </w:r>
    </w:p>
    <w:p w14:paraId="77C60016" w14:textId="77777777" w:rsidR="00D743A3" w:rsidRPr="00042024" w:rsidRDefault="00000000">
      <w:pPr>
        <w:pStyle w:val="3"/>
        <w:spacing w:line="360" w:lineRule="auto"/>
        <w:ind w:firstLine="480"/>
        <w:rPr>
          <w:color w:val="auto"/>
        </w:rPr>
      </w:pPr>
      <w:bookmarkStart w:id="9" w:name="数字赋能乡村"/>
      <w:bookmarkEnd w:id="8"/>
      <w:r w:rsidRPr="00042024">
        <w:rPr>
          <w:rFonts w:ascii="黑体" w:eastAsia="黑体" w:hAnsi="黑体"/>
          <w:b/>
          <w:color w:val="auto"/>
          <w:sz w:val="24"/>
        </w:rPr>
        <w:t xml:space="preserve">2.2 </w:t>
      </w:r>
      <w:r w:rsidRPr="00042024">
        <w:rPr>
          <w:rFonts w:ascii="黑体" w:eastAsia="黑体" w:hAnsi="黑体" w:hint="eastAsia"/>
          <w:b/>
          <w:color w:val="auto"/>
          <w:sz w:val="24"/>
        </w:rPr>
        <w:t>数字赋能乡村</w:t>
      </w:r>
    </w:p>
    <w:p w14:paraId="01FE4E99" w14:textId="77777777" w:rsidR="00D743A3" w:rsidRPr="00042024" w:rsidRDefault="00000000">
      <w:pPr>
        <w:pStyle w:val="FirstParagraph"/>
        <w:spacing w:line="360" w:lineRule="auto"/>
        <w:ind w:firstLine="480"/>
      </w:pPr>
      <w:r w:rsidRPr="00042024">
        <w:rPr>
          <w:rFonts w:ascii="宋体" w:eastAsia="宋体" w:hAnsi="宋体" w:hint="eastAsia"/>
        </w:rPr>
        <w:t>兰考以”数治村务”平台为核心，构建了覆盖人员、房屋、耕地的全域数据体系，嵌入AI算法实现坑塘危险识别、电子围栏、私搭乱建预警等功能（顶端新闻，2025）。产业端，数字供销平台整合503台农机设备，注册用户1.6万户，年线上零售额突破1000万元。民生端，智慧康养平台为80岁以上老人配备数字化监护设备，建立”子女—村委—村医”三级预警机制。但调研也显示（大河网，2025），部分偏远村庄的网络基础设施仍不完善，老年农民对智能设备的接受度和操作能力有限，数字化服务的实际使用率与覆盖率之间仍存在落差。数字赋能不是”一装了事”，后续的培训、维护和迭代同样关键。</w:t>
      </w:r>
    </w:p>
    <w:p w14:paraId="1419E7C7" w14:textId="77777777" w:rsidR="00D743A3" w:rsidRPr="00042024" w:rsidRDefault="00000000">
      <w:pPr>
        <w:pStyle w:val="3"/>
        <w:spacing w:line="360" w:lineRule="auto"/>
        <w:ind w:firstLine="480"/>
        <w:rPr>
          <w:color w:val="auto"/>
        </w:rPr>
      </w:pPr>
      <w:bookmarkStart w:id="10" w:name="绿色赋能发展"/>
      <w:bookmarkEnd w:id="9"/>
      <w:r w:rsidRPr="00042024">
        <w:rPr>
          <w:rFonts w:ascii="黑体" w:eastAsia="黑体" w:hAnsi="黑体"/>
          <w:b/>
          <w:color w:val="auto"/>
          <w:sz w:val="24"/>
        </w:rPr>
        <w:lastRenderedPageBreak/>
        <w:t xml:space="preserve">2.3 </w:t>
      </w:r>
      <w:r w:rsidRPr="00042024">
        <w:rPr>
          <w:rFonts w:ascii="黑体" w:eastAsia="黑体" w:hAnsi="黑体" w:hint="eastAsia"/>
          <w:b/>
          <w:color w:val="auto"/>
          <w:sz w:val="24"/>
        </w:rPr>
        <w:t>绿色赋能发展</w:t>
      </w:r>
    </w:p>
    <w:p w14:paraId="40DD6682" w14:textId="77777777" w:rsidR="00D743A3" w:rsidRPr="00042024" w:rsidRDefault="00000000">
      <w:pPr>
        <w:pStyle w:val="FirstParagraph"/>
        <w:spacing w:line="360" w:lineRule="auto"/>
        <w:ind w:firstLine="480"/>
      </w:pPr>
      <w:r w:rsidRPr="00042024">
        <w:rPr>
          <w:rFonts w:ascii="宋体" w:eastAsia="宋体" w:hAnsi="宋体" w:hint="eastAsia"/>
        </w:rPr>
        <w:t>作为全国首个农村能源革命试点县，兰考以”央企+村集体企业”联合建设模式构建了”风光储充放”一体化新能源体系。截至2025年，全县可再生能源发电装机达128.9万千瓦，较2016年增长31倍，可再生能源发电量占全社会用电量从21%升至97.7%，理论上已实现绿电自给自足（央视新闻，2025）。付楼村建成国家级”零碳乡村”，226户全部实现绿电供应，村民用电成本从0.86元/度降至0.5元/度。但值得注意的是，绿电消纳和收益分配机制仍有改进空间：光伏发电的初始投资较高，“央企+村集体”模式下村集体和农户的分成比例是否合理、长期收益是否可持续，需要进一步追踪评估。</w:t>
      </w:r>
    </w:p>
    <w:p w14:paraId="08B24FF6" w14:textId="77777777" w:rsidR="00D743A3" w:rsidRPr="00042024" w:rsidRDefault="00000000">
      <w:pPr>
        <w:pStyle w:val="3"/>
        <w:spacing w:line="360" w:lineRule="auto"/>
        <w:ind w:firstLine="480"/>
        <w:rPr>
          <w:color w:val="auto"/>
        </w:rPr>
      </w:pPr>
      <w:bookmarkStart w:id="11" w:name="人才赋能振兴"/>
      <w:bookmarkEnd w:id="10"/>
      <w:r w:rsidRPr="00042024">
        <w:rPr>
          <w:rFonts w:ascii="黑体" w:eastAsia="黑体" w:hAnsi="黑体"/>
          <w:b/>
          <w:color w:val="auto"/>
          <w:sz w:val="24"/>
        </w:rPr>
        <w:t xml:space="preserve">2.4 </w:t>
      </w:r>
      <w:r w:rsidRPr="00042024">
        <w:rPr>
          <w:rFonts w:ascii="黑体" w:eastAsia="黑体" w:hAnsi="黑体" w:hint="eastAsia"/>
          <w:b/>
          <w:color w:val="auto"/>
          <w:sz w:val="24"/>
        </w:rPr>
        <w:t>人才赋能振兴</w:t>
      </w:r>
    </w:p>
    <w:p w14:paraId="3BB255D4" w14:textId="77777777" w:rsidR="00D743A3" w:rsidRPr="00042024" w:rsidRDefault="00000000">
      <w:pPr>
        <w:pStyle w:val="FirstParagraph"/>
        <w:spacing w:line="360" w:lineRule="auto"/>
        <w:ind w:firstLine="480"/>
      </w:pPr>
      <w:r w:rsidRPr="00042024">
        <w:rPr>
          <w:rFonts w:ascii="宋体" w:eastAsia="宋体" w:hAnsi="宋体" w:hint="eastAsia"/>
        </w:rPr>
        <w:t>兰考组建了由225名农技人员组成的”一懂两爱”科技服务团，累计培育3000余名”新农人”（开封网，2024）。以张庄村为例，大学生返乡创业带来产业升级和就业带动，465户1760人参与了乡村建设和文旅融合。泡桐民族乐器产业年产值超1.6亿元，远销20多个国家。但人才振兴面临的结构性约束同样明显：返乡大学生以本科以下学历为主，高层次技术和管理人才引进困难；多数”新农人”的培训周期短、技能深度有限，难以支撑更高附加值的产业升级。人才”引得来、留不住”的问题在兰考依然存在。</w:t>
      </w:r>
    </w:p>
    <w:p w14:paraId="4393681A" w14:textId="77777777" w:rsidR="00D743A3" w:rsidRPr="00042024" w:rsidRDefault="00000000">
      <w:r w:rsidRPr="00042024">
        <w:pict w14:anchorId="5D04130B">
          <v:rect id="_x0000_i1027" style="width:0;height:1.5pt" o:hralign="center" o:hrstd="t" o:hr="t"/>
        </w:pict>
      </w:r>
    </w:p>
    <w:p w14:paraId="090D8F3B" w14:textId="77777777" w:rsidR="00D743A3" w:rsidRPr="00042024" w:rsidRDefault="00000000">
      <w:pPr>
        <w:pStyle w:val="2"/>
        <w:spacing w:line="360" w:lineRule="auto"/>
        <w:ind w:firstLine="560"/>
        <w:rPr>
          <w:color w:val="auto"/>
        </w:rPr>
      </w:pPr>
      <w:bookmarkStart w:id="12" w:name="第三章-实践成效"/>
      <w:bookmarkEnd w:id="7"/>
      <w:bookmarkEnd w:id="11"/>
      <w:r w:rsidRPr="00042024">
        <w:rPr>
          <w:rFonts w:ascii="黑体" w:eastAsia="黑体" w:hAnsi="黑体" w:hint="eastAsia"/>
          <w:color w:val="auto"/>
          <w:sz w:val="28"/>
        </w:rPr>
        <w:t>第三章</w:t>
      </w:r>
      <w:r w:rsidRPr="00042024">
        <w:rPr>
          <w:rFonts w:ascii="黑体" w:eastAsia="黑体" w:hAnsi="黑体"/>
          <w:color w:val="auto"/>
          <w:sz w:val="28"/>
        </w:rPr>
        <w:t xml:space="preserve"> </w:t>
      </w:r>
      <w:r w:rsidRPr="00042024">
        <w:rPr>
          <w:rFonts w:ascii="黑体" w:eastAsia="黑体" w:hAnsi="黑体" w:hint="eastAsia"/>
          <w:color w:val="auto"/>
          <w:sz w:val="28"/>
        </w:rPr>
        <w:t>实践成效</w:t>
      </w:r>
    </w:p>
    <w:p w14:paraId="683C7F7B" w14:textId="77777777" w:rsidR="00D743A3" w:rsidRPr="00042024" w:rsidRDefault="00000000">
      <w:pPr>
        <w:pStyle w:val="3"/>
        <w:spacing w:line="360" w:lineRule="auto"/>
        <w:ind w:firstLine="480"/>
        <w:rPr>
          <w:color w:val="auto"/>
        </w:rPr>
      </w:pPr>
      <w:bookmarkStart w:id="13" w:name="农业生产更加高效"/>
      <w:r w:rsidRPr="00042024">
        <w:rPr>
          <w:rFonts w:ascii="黑体" w:eastAsia="黑体" w:hAnsi="黑体"/>
          <w:b/>
          <w:color w:val="auto"/>
          <w:sz w:val="24"/>
        </w:rPr>
        <w:t xml:space="preserve">3.1 </w:t>
      </w:r>
      <w:r w:rsidRPr="00042024">
        <w:rPr>
          <w:rFonts w:ascii="黑体" w:eastAsia="黑体" w:hAnsi="黑体" w:hint="eastAsia"/>
          <w:b/>
          <w:color w:val="auto"/>
          <w:sz w:val="24"/>
        </w:rPr>
        <w:t>农业生产更加高效</w:t>
      </w:r>
    </w:p>
    <w:p w14:paraId="73F38299" w14:textId="77777777" w:rsidR="00D743A3" w:rsidRPr="00042024" w:rsidRDefault="00000000">
      <w:pPr>
        <w:pStyle w:val="FirstParagraph"/>
        <w:spacing w:line="360" w:lineRule="auto"/>
        <w:ind w:firstLine="480"/>
      </w:pPr>
      <w:r w:rsidRPr="00042024">
        <w:rPr>
          <w:rFonts w:ascii="宋体" w:eastAsia="宋体" w:hAnsi="宋体" w:hint="eastAsia"/>
        </w:rPr>
        <w:t>兰采取”AI+智慧农业”模式，建成高标准农田98.15万亩、示范区12.84万亩（开封网，2024）。示范区数据显示，亩均粮食增产220斤、亩均增收约600元，节水、节肥、节药率均超10%，灌溉精度提升70%，机井维护成本下降45%，一人可管理500至1000亩农田。但需要看到，相比河南省粮食平均亩产约850斤的水平，示范区增产220斤意味着约25%的增幅——这个提升幅度既有科技进步的贡献，</w:t>
      </w:r>
      <w:r w:rsidRPr="00042024">
        <w:rPr>
          <w:rFonts w:ascii="宋体" w:eastAsia="宋体" w:hAnsi="宋体" w:hint="eastAsia"/>
        </w:rPr>
        <w:lastRenderedPageBreak/>
        <w:t>也与示范区优先获得高标准农田建设资金和基础设施配套有关，不能完全归因于智能化技术本身。</w:t>
      </w:r>
    </w:p>
    <w:p w14:paraId="5FE61D84" w14:textId="77777777" w:rsidR="00D743A3" w:rsidRPr="00042024" w:rsidRDefault="00000000">
      <w:pPr>
        <w:pStyle w:val="3"/>
        <w:spacing w:line="360" w:lineRule="auto"/>
        <w:ind w:firstLine="480"/>
        <w:rPr>
          <w:color w:val="auto"/>
        </w:rPr>
      </w:pPr>
      <w:bookmarkStart w:id="14" w:name="农民收入持续增长"/>
      <w:bookmarkEnd w:id="13"/>
      <w:r w:rsidRPr="00042024">
        <w:rPr>
          <w:rFonts w:ascii="黑体" w:eastAsia="黑体" w:hAnsi="黑体"/>
          <w:b/>
          <w:color w:val="auto"/>
          <w:sz w:val="24"/>
        </w:rPr>
        <w:t xml:space="preserve">3.2 </w:t>
      </w:r>
      <w:r w:rsidRPr="00042024">
        <w:rPr>
          <w:rFonts w:ascii="黑体" w:eastAsia="黑体" w:hAnsi="黑体" w:hint="eastAsia"/>
          <w:b/>
          <w:color w:val="auto"/>
          <w:sz w:val="24"/>
        </w:rPr>
        <w:t>农民收入持续增长</w:t>
      </w:r>
    </w:p>
    <w:p w14:paraId="1A074D90" w14:textId="77777777" w:rsidR="00D743A3" w:rsidRPr="00042024" w:rsidRDefault="00000000">
      <w:pPr>
        <w:pStyle w:val="FirstParagraph"/>
        <w:spacing w:line="360" w:lineRule="auto"/>
        <w:ind w:firstLine="480"/>
      </w:pPr>
      <w:r w:rsidRPr="00042024">
        <w:rPr>
          <w:rFonts w:ascii="宋体" w:eastAsia="宋体" w:hAnsi="宋体" w:hint="eastAsia"/>
        </w:rPr>
        <w:t>兰考农村居民人均可支配收入从2000年的1939元增至2025年的22349元，二十五年增长约11.5倍；全体居民人均可支配收入达27899元（兰考县人民政府，2025）；共富工坊544个带动就业3.96万人。但收入结构分析显示，工资性收入占比仍低于全国县域平均水平，经营性收入受农产品价格波动影响较大，收入增长的稳定性有待加强。此外，全县仍有部分低收入户主要依靠转移性收入，内生增收能力不足。这说明新质生产力的增收效应目前更多惠及了参与产业链的群体，如何扩大覆盖面仍是下一步需要解决的问题。</w:t>
      </w:r>
    </w:p>
    <w:p w14:paraId="2537436A" w14:textId="77777777" w:rsidR="00D743A3" w:rsidRPr="00042024" w:rsidRDefault="00000000">
      <w:pPr>
        <w:pStyle w:val="3"/>
        <w:spacing w:line="360" w:lineRule="auto"/>
        <w:ind w:firstLine="480"/>
        <w:rPr>
          <w:color w:val="auto"/>
        </w:rPr>
      </w:pPr>
      <w:bookmarkStart w:id="15" w:name="城乡发展更加协调"/>
      <w:bookmarkEnd w:id="14"/>
      <w:r w:rsidRPr="00042024">
        <w:rPr>
          <w:rFonts w:ascii="黑体" w:eastAsia="黑体" w:hAnsi="黑体"/>
          <w:b/>
          <w:color w:val="auto"/>
          <w:sz w:val="24"/>
        </w:rPr>
        <w:t xml:space="preserve">3.3 </w:t>
      </w:r>
      <w:r w:rsidRPr="00042024">
        <w:rPr>
          <w:rFonts w:ascii="黑体" w:eastAsia="黑体" w:hAnsi="黑体" w:hint="eastAsia"/>
          <w:b/>
          <w:color w:val="auto"/>
          <w:sz w:val="24"/>
        </w:rPr>
        <w:t>城乡发展更加协调</w:t>
      </w:r>
    </w:p>
    <w:p w14:paraId="5421F287" w14:textId="77777777" w:rsidR="00D743A3" w:rsidRPr="00042024" w:rsidRDefault="00000000">
      <w:pPr>
        <w:pStyle w:val="FirstParagraph"/>
        <w:spacing w:line="360" w:lineRule="auto"/>
        <w:ind w:firstLine="480"/>
      </w:pPr>
      <w:r w:rsidRPr="00042024">
        <w:rPr>
          <w:rFonts w:ascii="宋体" w:eastAsia="宋体" w:hAnsi="宋体" w:hint="eastAsia"/>
        </w:rPr>
        <w:t>兰考城乡收入比从2007年的2.53持续缩小至2025年的1.60，低于同期河南省城乡收入比（约2.06）和全国城乡收入比（约2.34）（开封市统计局，2024；兰考县人民政府，2025）。这一变化是可喜的，但也需注意：城乡收入比的下降存在”分母效应”——农村居民收入的增长快于城镇居民，但城镇居民收入的绝对水平仍明显高于农村。同时，城乡差距不仅体现在收入维度，教育、医疗、养老等公共服务领域的差距同样显著，数字治理平台虽改善了服务效率，但优质资源向县城集中的趋势并未根本改变。</w:t>
      </w:r>
    </w:p>
    <w:p w14:paraId="356207A6" w14:textId="77777777" w:rsidR="00D743A3" w:rsidRPr="00042024" w:rsidRDefault="00000000">
      <w:pPr>
        <w:pStyle w:val="3"/>
        <w:spacing w:line="360" w:lineRule="auto"/>
        <w:ind w:firstLine="480"/>
        <w:rPr>
          <w:color w:val="auto"/>
        </w:rPr>
      </w:pPr>
      <w:bookmarkStart w:id="16" w:name="县域经济高质量发展"/>
      <w:bookmarkEnd w:id="15"/>
      <w:r w:rsidRPr="00042024">
        <w:rPr>
          <w:rFonts w:ascii="黑体" w:eastAsia="黑体" w:hAnsi="黑体"/>
          <w:b/>
          <w:color w:val="auto"/>
          <w:sz w:val="24"/>
        </w:rPr>
        <w:t xml:space="preserve">3.4 </w:t>
      </w:r>
      <w:r w:rsidRPr="00042024">
        <w:rPr>
          <w:rFonts w:ascii="黑体" w:eastAsia="黑体" w:hAnsi="黑体" w:hint="eastAsia"/>
          <w:b/>
          <w:color w:val="auto"/>
          <w:sz w:val="24"/>
        </w:rPr>
        <w:t>县域经济高质量发展</w:t>
      </w:r>
    </w:p>
    <w:p w14:paraId="0CCC46A5" w14:textId="77777777" w:rsidR="00D743A3" w:rsidRPr="00042024" w:rsidRDefault="00000000">
      <w:pPr>
        <w:pStyle w:val="FirstParagraph"/>
        <w:spacing w:line="360" w:lineRule="auto"/>
        <w:ind w:firstLine="480"/>
      </w:pPr>
      <w:r w:rsidRPr="00042024">
        <w:rPr>
          <w:rFonts w:ascii="宋体" w:eastAsia="宋体" w:hAnsi="宋体" w:hint="eastAsia"/>
        </w:rPr>
        <w:t>兰考GDP从2023年的410.48亿元增至2025年的475.28亿元，两年增长15.8%，增速居开封市第一。三次产业结构由12.7:43.0:44.4优化为10.3:46.2:43.5（兰考县人民政府，2025）。二产占比的提升主要得益于现代家居和新能源装备制造业的扩张，但高技术制造业增加值占规上工业增加值的比重仍低于全国县域百强县平均水平，创新驱动的含金量还有提升空间。换言之，兰考县域</w:t>
      </w:r>
      <w:r w:rsidRPr="00042024">
        <w:rPr>
          <w:rFonts w:ascii="宋体" w:eastAsia="宋体" w:hAnsi="宋体" w:hint="eastAsia"/>
        </w:rPr>
        <w:lastRenderedPageBreak/>
        <w:t>经济的”量”的增长已经取得明显成效，但”质”的跃升——尤其是全要素生产率的贡献率——仍需更长时间的数据积累才能做出可靠判断。</w:t>
      </w:r>
    </w:p>
    <w:p w14:paraId="13BEEB88" w14:textId="77777777" w:rsidR="00D743A3" w:rsidRPr="00042024" w:rsidRDefault="00000000">
      <w:r w:rsidRPr="00042024">
        <w:pict w14:anchorId="005B797F">
          <v:rect id="_x0000_i1028" style="width:0;height:1.5pt" o:hralign="center" o:hrstd="t" o:hr="t"/>
        </w:pict>
      </w:r>
    </w:p>
    <w:p w14:paraId="1E5E6DBE" w14:textId="77777777" w:rsidR="00D743A3" w:rsidRPr="00042024" w:rsidRDefault="00000000">
      <w:pPr>
        <w:pStyle w:val="2"/>
        <w:spacing w:line="360" w:lineRule="auto"/>
        <w:ind w:firstLine="560"/>
        <w:rPr>
          <w:color w:val="auto"/>
        </w:rPr>
      </w:pPr>
      <w:bookmarkStart w:id="17" w:name="第四章-经验启示"/>
      <w:bookmarkEnd w:id="12"/>
      <w:bookmarkEnd w:id="16"/>
      <w:r w:rsidRPr="00042024">
        <w:rPr>
          <w:rFonts w:ascii="黑体" w:eastAsia="黑体" w:hAnsi="黑体" w:hint="eastAsia"/>
          <w:color w:val="auto"/>
          <w:sz w:val="28"/>
        </w:rPr>
        <w:t>第四章</w:t>
      </w:r>
      <w:r w:rsidRPr="00042024">
        <w:rPr>
          <w:rFonts w:ascii="黑体" w:eastAsia="黑体" w:hAnsi="黑体"/>
          <w:color w:val="auto"/>
          <w:sz w:val="28"/>
        </w:rPr>
        <w:t xml:space="preserve"> </w:t>
      </w:r>
      <w:r w:rsidRPr="00042024">
        <w:rPr>
          <w:rFonts w:ascii="黑体" w:eastAsia="黑体" w:hAnsi="黑体" w:hint="eastAsia"/>
          <w:color w:val="auto"/>
          <w:sz w:val="28"/>
        </w:rPr>
        <w:t>经验启示</w:t>
      </w:r>
    </w:p>
    <w:p w14:paraId="27A4C161" w14:textId="77777777" w:rsidR="00D743A3" w:rsidRPr="00042024" w:rsidRDefault="00000000">
      <w:pPr>
        <w:pStyle w:val="3"/>
        <w:spacing w:line="360" w:lineRule="auto"/>
        <w:ind w:firstLine="480"/>
        <w:rPr>
          <w:color w:val="auto"/>
        </w:rPr>
      </w:pPr>
      <w:bookmarkStart w:id="18" w:name="创新驱动是根本动力"/>
      <w:r w:rsidRPr="00042024">
        <w:rPr>
          <w:rFonts w:ascii="黑体" w:eastAsia="黑体" w:hAnsi="黑体"/>
          <w:b/>
          <w:color w:val="auto"/>
          <w:sz w:val="24"/>
        </w:rPr>
        <w:t xml:space="preserve">4.1 </w:t>
      </w:r>
      <w:r w:rsidRPr="00042024">
        <w:rPr>
          <w:rFonts w:ascii="黑体" w:eastAsia="黑体" w:hAnsi="黑体" w:hint="eastAsia"/>
          <w:b/>
          <w:color w:val="auto"/>
          <w:sz w:val="24"/>
        </w:rPr>
        <w:t>创新驱动是根本动力</w:t>
      </w:r>
    </w:p>
    <w:p w14:paraId="769B7848" w14:textId="77777777" w:rsidR="00D743A3" w:rsidRPr="00042024" w:rsidRDefault="00000000">
      <w:pPr>
        <w:pStyle w:val="FirstParagraph"/>
        <w:spacing w:line="360" w:lineRule="auto"/>
        <w:ind w:firstLine="480"/>
      </w:pPr>
      <w:r w:rsidRPr="00042024">
        <w:rPr>
          <w:rFonts w:ascii="宋体" w:eastAsia="宋体" w:hAnsi="宋体" w:hint="eastAsia"/>
        </w:rPr>
        <w:t>从高标准农田到”万象耕耘”大模型，兰考的经验表明，农业现代化离不开持续的技术投入。但创新的前提是制度配套——“投融建运管”一体化模式的成功说明，技术和制度需要协同推进，缺一不可。</w:t>
      </w:r>
    </w:p>
    <w:p w14:paraId="45625E63" w14:textId="77777777" w:rsidR="00D743A3" w:rsidRPr="00042024" w:rsidRDefault="00000000">
      <w:pPr>
        <w:pStyle w:val="3"/>
        <w:spacing w:line="360" w:lineRule="auto"/>
        <w:ind w:firstLine="480"/>
        <w:rPr>
          <w:color w:val="auto"/>
        </w:rPr>
      </w:pPr>
      <w:bookmarkStart w:id="19" w:name="数字赋能是关键抓手"/>
      <w:bookmarkEnd w:id="18"/>
      <w:r w:rsidRPr="00042024">
        <w:rPr>
          <w:rFonts w:ascii="黑体" w:eastAsia="黑体" w:hAnsi="黑体"/>
          <w:b/>
          <w:color w:val="auto"/>
          <w:sz w:val="24"/>
        </w:rPr>
        <w:t xml:space="preserve">4.2 </w:t>
      </w:r>
      <w:r w:rsidRPr="00042024">
        <w:rPr>
          <w:rFonts w:ascii="黑体" w:eastAsia="黑体" w:hAnsi="黑体" w:hint="eastAsia"/>
          <w:b/>
          <w:color w:val="auto"/>
          <w:sz w:val="24"/>
        </w:rPr>
        <w:t>数字赋能是关键抓手</w:t>
      </w:r>
    </w:p>
    <w:p w14:paraId="69CBDC18" w14:textId="77777777" w:rsidR="00D743A3" w:rsidRPr="00042024" w:rsidRDefault="00000000">
      <w:pPr>
        <w:pStyle w:val="FirstParagraph"/>
        <w:spacing w:line="360" w:lineRule="auto"/>
        <w:ind w:firstLine="480"/>
      </w:pPr>
      <w:r w:rsidRPr="00042024">
        <w:rPr>
          <w:rFonts w:ascii="宋体" w:eastAsia="宋体" w:hAnsi="宋体" w:hint="eastAsia"/>
        </w:rPr>
        <w:t>数字平台在提升乡村治理效率、降低交易成本方面效果显著。但数字赋能的深度取决于农村网络基础设施的完善程度和农民的数字素养水平，二者是下一步需要突破的瓶颈。</w:t>
      </w:r>
    </w:p>
    <w:p w14:paraId="4CC786A5" w14:textId="77777777" w:rsidR="00D743A3" w:rsidRPr="00042024" w:rsidRDefault="00000000">
      <w:pPr>
        <w:pStyle w:val="3"/>
        <w:spacing w:line="360" w:lineRule="auto"/>
        <w:ind w:firstLine="480"/>
        <w:rPr>
          <w:color w:val="auto"/>
        </w:rPr>
      </w:pPr>
      <w:bookmarkStart w:id="20" w:name="绿色发展是重要方向"/>
      <w:bookmarkEnd w:id="19"/>
      <w:r w:rsidRPr="00042024">
        <w:rPr>
          <w:rFonts w:ascii="黑体" w:eastAsia="黑体" w:hAnsi="黑体"/>
          <w:b/>
          <w:color w:val="auto"/>
          <w:sz w:val="24"/>
        </w:rPr>
        <w:t xml:space="preserve">4.3 </w:t>
      </w:r>
      <w:r w:rsidRPr="00042024">
        <w:rPr>
          <w:rFonts w:ascii="黑体" w:eastAsia="黑体" w:hAnsi="黑体" w:hint="eastAsia"/>
          <w:b/>
          <w:color w:val="auto"/>
          <w:sz w:val="24"/>
        </w:rPr>
        <w:t>绿色发展是重要方向</w:t>
      </w:r>
    </w:p>
    <w:p w14:paraId="1D85406F" w14:textId="77777777" w:rsidR="00D743A3" w:rsidRPr="00042024" w:rsidRDefault="00000000">
      <w:pPr>
        <w:pStyle w:val="FirstParagraph"/>
        <w:spacing w:line="360" w:lineRule="auto"/>
        <w:ind w:firstLine="480"/>
      </w:pPr>
      <w:r w:rsidRPr="00042024">
        <w:rPr>
          <w:rFonts w:ascii="宋体" w:eastAsia="宋体" w:hAnsi="宋体" w:hint="eastAsia"/>
        </w:rPr>
        <w:t>兰考的能源转型证明了县域层面实现高比例绿电自给的可行性。但绿色发展的经济可持续性取决于技术成本下降曲线和收益分配机制的完善程度，不宜简单认为”建成即可持续”。</w:t>
      </w:r>
    </w:p>
    <w:p w14:paraId="1C05A9A9" w14:textId="77777777" w:rsidR="00D743A3" w:rsidRPr="00042024" w:rsidRDefault="00000000">
      <w:pPr>
        <w:pStyle w:val="3"/>
        <w:spacing w:line="360" w:lineRule="auto"/>
        <w:ind w:firstLine="480"/>
        <w:rPr>
          <w:color w:val="auto"/>
        </w:rPr>
      </w:pPr>
      <w:bookmarkStart w:id="21" w:name="人才振兴是核心支撑"/>
      <w:bookmarkEnd w:id="20"/>
      <w:r w:rsidRPr="00042024">
        <w:rPr>
          <w:rFonts w:ascii="黑体" w:eastAsia="黑体" w:hAnsi="黑体"/>
          <w:b/>
          <w:color w:val="auto"/>
          <w:sz w:val="24"/>
        </w:rPr>
        <w:t xml:space="preserve">4.4 </w:t>
      </w:r>
      <w:r w:rsidRPr="00042024">
        <w:rPr>
          <w:rFonts w:ascii="黑体" w:eastAsia="黑体" w:hAnsi="黑体" w:hint="eastAsia"/>
          <w:b/>
          <w:color w:val="auto"/>
          <w:sz w:val="24"/>
        </w:rPr>
        <w:t>人才振兴是核心支撑</w:t>
      </w:r>
    </w:p>
    <w:p w14:paraId="204A68E0" w14:textId="77777777" w:rsidR="00D743A3" w:rsidRPr="00042024" w:rsidRDefault="00000000">
      <w:pPr>
        <w:pStyle w:val="FirstParagraph"/>
        <w:spacing w:line="360" w:lineRule="auto"/>
        <w:ind w:firstLine="480"/>
      </w:pPr>
      <w:r w:rsidRPr="00042024">
        <w:rPr>
          <w:rFonts w:ascii="宋体" w:eastAsia="宋体" w:hAnsi="宋体" w:hint="eastAsia"/>
        </w:rPr>
        <w:t>科技服务团、“新农人”和返乡大学生构成了兰考乡村人力资本提升的三级梯队。但人才振兴需要与产业升级形成良性循环——没有足够有吸引力的就业岗位，培训出来的人才仍可能外流。</w:t>
      </w:r>
    </w:p>
    <w:p w14:paraId="61A620DB" w14:textId="77777777" w:rsidR="00D743A3" w:rsidRPr="00042024" w:rsidRDefault="00000000">
      <w:pPr>
        <w:pStyle w:val="3"/>
        <w:spacing w:line="360" w:lineRule="auto"/>
        <w:ind w:firstLine="480"/>
        <w:rPr>
          <w:color w:val="auto"/>
        </w:rPr>
      </w:pPr>
      <w:bookmarkStart w:id="22" w:name="因地制宜是基本原则"/>
      <w:bookmarkEnd w:id="21"/>
      <w:r w:rsidRPr="00042024">
        <w:rPr>
          <w:rFonts w:ascii="黑体" w:eastAsia="黑体" w:hAnsi="黑体"/>
          <w:b/>
          <w:color w:val="auto"/>
          <w:sz w:val="24"/>
        </w:rPr>
        <w:t xml:space="preserve">4.5 </w:t>
      </w:r>
      <w:r w:rsidRPr="00042024">
        <w:rPr>
          <w:rFonts w:ascii="黑体" w:eastAsia="黑体" w:hAnsi="黑体" w:hint="eastAsia"/>
          <w:b/>
          <w:color w:val="auto"/>
          <w:sz w:val="24"/>
        </w:rPr>
        <w:t>因地制宜是基本原则</w:t>
      </w:r>
    </w:p>
    <w:p w14:paraId="3D475656" w14:textId="77777777" w:rsidR="00D743A3" w:rsidRPr="00042024" w:rsidRDefault="00000000">
      <w:pPr>
        <w:pStyle w:val="FirstParagraph"/>
        <w:spacing w:line="360" w:lineRule="auto"/>
        <w:ind w:firstLine="480"/>
      </w:pPr>
      <w:r w:rsidRPr="00042024">
        <w:rPr>
          <w:rFonts w:ascii="宋体" w:eastAsia="宋体" w:hAnsi="宋体" w:hint="eastAsia"/>
        </w:rPr>
        <w:t>兰考没有简单复制东部模式，而是从农业大县的基础出发，选择了适合自身条件的路径。但这不意味着兰考的模式可以直接移植——每个县域的初始条件、政策</w:t>
      </w:r>
      <w:r w:rsidRPr="00042024">
        <w:rPr>
          <w:rFonts w:ascii="宋体" w:eastAsia="宋体" w:hAnsi="宋体" w:hint="eastAsia"/>
        </w:rPr>
        <w:lastRenderedPageBreak/>
        <w:t>资源、区位因素不同，经验借鉴的关键不是照搬具体做法，而是理解其背后的选择逻辑和适用边界。</w:t>
      </w:r>
    </w:p>
    <w:p w14:paraId="74C806D8" w14:textId="77777777" w:rsidR="00D743A3" w:rsidRPr="00042024" w:rsidRDefault="00000000">
      <w:r w:rsidRPr="00042024">
        <w:pict w14:anchorId="5050B136">
          <v:rect id="_x0000_i1029" style="width:0;height:1.5pt" o:hralign="center" o:hrstd="t" o:hr="t"/>
        </w:pict>
      </w:r>
    </w:p>
    <w:p w14:paraId="38BB71FF" w14:textId="77777777" w:rsidR="00D743A3" w:rsidRPr="00042024" w:rsidRDefault="00000000">
      <w:pPr>
        <w:pStyle w:val="2"/>
        <w:spacing w:line="360" w:lineRule="auto"/>
        <w:ind w:firstLine="560"/>
        <w:rPr>
          <w:color w:val="auto"/>
        </w:rPr>
      </w:pPr>
      <w:bookmarkStart w:id="23" w:name="结语"/>
      <w:bookmarkEnd w:id="17"/>
      <w:bookmarkEnd w:id="22"/>
      <w:r w:rsidRPr="00042024">
        <w:rPr>
          <w:rFonts w:ascii="黑体" w:eastAsia="黑体" w:hAnsi="黑体" w:hint="eastAsia"/>
          <w:color w:val="auto"/>
          <w:sz w:val="28"/>
        </w:rPr>
        <w:t>结语</w:t>
      </w:r>
    </w:p>
    <w:p w14:paraId="0A112246" w14:textId="77777777" w:rsidR="00D743A3" w:rsidRPr="00042024" w:rsidRDefault="00000000">
      <w:pPr>
        <w:pStyle w:val="FirstParagraph"/>
        <w:spacing w:line="360" w:lineRule="auto"/>
        <w:ind w:firstLine="480"/>
      </w:pPr>
      <w:r w:rsidRPr="00042024">
        <w:rPr>
          <w:rFonts w:ascii="宋体" w:eastAsia="宋体" w:hAnsi="宋体" w:hint="eastAsia"/>
        </w:rPr>
        <w:t>本文从理论依据、实践路径、实践成效和经验启示四个维度，考察了兰考县以新质生产力推动共同富裕的实践。研究表明，“科技+数字+绿色+人才”四维协同为兰考提供了跨越式发展的动力，但其效果的充分发挥仍面临数字化覆盖不均、产业结构有待优化、人才供给不足、绿色收益分配机制需完善等现实约束。未来研究可以在更长的时间跨度内，通过与其他县域的比较分析，进一步分离新质生产力贡献与其他因素（财政投入、制度优势、区位条件等）的独立效应。兰考经验最重要的启示或许不是”做了什么”，而是”为什么这么做”和”还有哪些没做到”——这对于全国县域的同类型探索，可能比一份成绩单更有价值。</w:t>
      </w:r>
    </w:p>
    <w:p w14:paraId="4E5C9AB7" w14:textId="77777777" w:rsidR="00D743A3" w:rsidRPr="00042024" w:rsidRDefault="00000000">
      <w:r w:rsidRPr="00042024">
        <w:pict w14:anchorId="42AB47AD">
          <v:rect id="_x0000_i1030" style="width:0;height:1.5pt" o:hralign="center" o:hrstd="t" o:hr="t"/>
        </w:pict>
      </w:r>
    </w:p>
    <w:p w14:paraId="51A83CAA" w14:textId="77777777" w:rsidR="00D743A3" w:rsidRPr="00042024" w:rsidRDefault="00000000">
      <w:pPr>
        <w:pStyle w:val="2"/>
        <w:spacing w:line="360" w:lineRule="auto"/>
        <w:ind w:firstLine="560"/>
        <w:rPr>
          <w:color w:val="auto"/>
        </w:rPr>
      </w:pPr>
      <w:bookmarkStart w:id="24" w:name="参考文献"/>
      <w:bookmarkEnd w:id="23"/>
      <w:r w:rsidRPr="00042024">
        <w:rPr>
          <w:rFonts w:ascii="黑体" w:eastAsia="黑体" w:hAnsi="黑体" w:hint="eastAsia"/>
          <w:color w:val="auto"/>
          <w:sz w:val="28"/>
        </w:rPr>
        <w:t>参考文献</w:t>
      </w:r>
    </w:p>
    <w:p w14:paraId="3E2C2BF6" w14:textId="77777777" w:rsidR="00D743A3" w:rsidRPr="00042024" w:rsidRDefault="00000000">
      <w:pPr>
        <w:pStyle w:val="FirstParagraph"/>
        <w:spacing w:line="360" w:lineRule="auto"/>
        <w:ind w:firstLine="480"/>
      </w:pPr>
      <w:r w:rsidRPr="00042024">
        <w:rPr>
          <w:rFonts w:ascii="宋体" w:eastAsia="宋体" w:hAnsi="宋体"/>
        </w:rPr>
        <w:t xml:space="preserve">[1] </w:t>
      </w:r>
      <w:r w:rsidRPr="00042024">
        <w:rPr>
          <w:rFonts w:ascii="宋体" w:eastAsia="宋体" w:hAnsi="宋体" w:hint="eastAsia"/>
        </w:rPr>
        <w:t>陈双龙.</w:t>
      </w:r>
      <w:r w:rsidRPr="00042024">
        <w:rPr>
          <w:rFonts w:ascii="宋体" w:eastAsia="宋体" w:hAnsi="宋体"/>
        </w:rPr>
        <w:t xml:space="preserve"> </w:t>
      </w:r>
      <w:r w:rsidRPr="00042024">
        <w:rPr>
          <w:rFonts w:ascii="宋体" w:eastAsia="宋体" w:hAnsi="宋体" w:hint="eastAsia"/>
        </w:rPr>
        <w:t>农业新质生产力促进共同富裕实现的价值意蕴与实践指向[J].</w:t>
      </w:r>
      <w:r w:rsidRPr="00042024">
        <w:rPr>
          <w:rFonts w:ascii="宋体" w:eastAsia="宋体" w:hAnsi="宋体"/>
        </w:rPr>
        <w:t xml:space="preserve"> </w:t>
      </w:r>
      <w:r w:rsidRPr="00042024">
        <w:rPr>
          <w:rFonts w:ascii="宋体" w:eastAsia="宋体" w:hAnsi="宋体" w:hint="eastAsia"/>
        </w:rPr>
        <w:t>北京农业职业学院学报，</w:t>
      </w:r>
      <w:r w:rsidRPr="00042024">
        <w:rPr>
          <w:rFonts w:ascii="宋体" w:eastAsia="宋体" w:hAnsi="宋体"/>
        </w:rPr>
        <w:t xml:space="preserve"> 2026. [2] </w:t>
      </w:r>
      <w:r w:rsidRPr="00042024">
        <w:rPr>
          <w:rFonts w:ascii="宋体" w:eastAsia="宋体" w:hAnsi="宋体" w:hint="eastAsia"/>
        </w:rPr>
        <w:t>周波，</w:t>
      </w:r>
      <w:r w:rsidRPr="00042024">
        <w:rPr>
          <w:rFonts w:ascii="宋体" w:eastAsia="宋体" w:hAnsi="宋体"/>
        </w:rPr>
        <w:t xml:space="preserve"> </w:t>
      </w:r>
      <w:r w:rsidRPr="00042024">
        <w:rPr>
          <w:rFonts w:ascii="宋体" w:eastAsia="宋体" w:hAnsi="宋体" w:hint="eastAsia"/>
        </w:rPr>
        <w:t>张萍.</w:t>
      </w:r>
      <w:r w:rsidRPr="00042024">
        <w:rPr>
          <w:rFonts w:ascii="宋体" w:eastAsia="宋体" w:hAnsi="宋体"/>
        </w:rPr>
        <w:t xml:space="preserve"> </w:t>
      </w:r>
      <w:r w:rsidRPr="00042024">
        <w:rPr>
          <w:rFonts w:ascii="宋体" w:eastAsia="宋体" w:hAnsi="宋体" w:hint="eastAsia"/>
        </w:rPr>
        <w:t>农业新质生产力对乡村生态共富的影响——基于全国281个地级市的面板数据[J].</w:t>
      </w:r>
      <w:r w:rsidRPr="00042024">
        <w:rPr>
          <w:rFonts w:ascii="宋体" w:eastAsia="宋体" w:hAnsi="宋体"/>
        </w:rPr>
        <w:t xml:space="preserve"> </w:t>
      </w:r>
      <w:r w:rsidRPr="00042024">
        <w:rPr>
          <w:rFonts w:ascii="宋体" w:eastAsia="宋体" w:hAnsi="宋体" w:hint="eastAsia"/>
        </w:rPr>
        <w:t>中国农业资源与区划，</w:t>
      </w:r>
      <w:r w:rsidRPr="00042024">
        <w:rPr>
          <w:rFonts w:ascii="宋体" w:eastAsia="宋体" w:hAnsi="宋体"/>
        </w:rPr>
        <w:t xml:space="preserve"> 2026. [3] </w:t>
      </w:r>
      <w:r w:rsidRPr="00042024">
        <w:rPr>
          <w:rFonts w:ascii="宋体" w:eastAsia="宋体" w:hAnsi="宋体" w:hint="eastAsia"/>
        </w:rPr>
        <w:t>何蒲明，</w:t>
      </w:r>
      <w:r w:rsidRPr="00042024">
        <w:rPr>
          <w:rFonts w:ascii="宋体" w:eastAsia="宋体" w:hAnsi="宋体"/>
        </w:rPr>
        <w:t xml:space="preserve"> </w:t>
      </w:r>
      <w:r w:rsidRPr="00042024">
        <w:rPr>
          <w:rFonts w:ascii="宋体" w:eastAsia="宋体" w:hAnsi="宋体" w:hint="eastAsia"/>
        </w:rPr>
        <w:t>罗嘉怡.</w:t>
      </w:r>
      <w:r w:rsidRPr="00042024">
        <w:rPr>
          <w:rFonts w:ascii="宋体" w:eastAsia="宋体" w:hAnsi="宋体"/>
        </w:rPr>
        <w:t xml:space="preserve"> </w:t>
      </w:r>
      <w:r w:rsidRPr="00042024">
        <w:rPr>
          <w:rFonts w:ascii="宋体" w:eastAsia="宋体" w:hAnsi="宋体" w:hint="eastAsia"/>
        </w:rPr>
        <w:t>农业新质生产力赋能农民农村共同富裕的作用机理与实现路径——基于长江经济带的实证研究[J].</w:t>
      </w:r>
      <w:r w:rsidRPr="00042024">
        <w:rPr>
          <w:rFonts w:ascii="宋体" w:eastAsia="宋体" w:hAnsi="宋体"/>
        </w:rPr>
        <w:t xml:space="preserve"> </w:t>
      </w:r>
      <w:r w:rsidRPr="00042024">
        <w:rPr>
          <w:rFonts w:ascii="宋体" w:eastAsia="宋体" w:hAnsi="宋体" w:hint="eastAsia"/>
        </w:rPr>
        <w:t>长江大学学报（社会科学版），</w:t>
      </w:r>
      <w:r w:rsidRPr="00042024">
        <w:rPr>
          <w:rFonts w:ascii="宋体" w:eastAsia="宋体" w:hAnsi="宋体"/>
        </w:rPr>
        <w:t xml:space="preserve"> 2025, 48(5). [4] </w:t>
      </w:r>
      <w:r w:rsidRPr="00042024">
        <w:rPr>
          <w:rFonts w:ascii="宋体" w:eastAsia="宋体" w:hAnsi="宋体" w:hint="eastAsia"/>
        </w:rPr>
        <w:t>王海稳，</w:t>
      </w:r>
      <w:r w:rsidRPr="00042024">
        <w:rPr>
          <w:rFonts w:ascii="宋体" w:eastAsia="宋体" w:hAnsi="宋体"/>
        </w:rPr>
        <w:t xml:space="preserve"> </w:t>
      </w:r>
      <w:r w:rsidRPr="00042024">
        <w:rPr>
          <w:rFonts w:ascii="宋体" w:eastAsia="宋体" w:hAnsi="宋体" w:hint="eastAsia"/>
        </w:rPr>
        <w:t>王鑫森，</w:t>
      </w:r>
      <w:r w:rsidRPr="00042024">
        <w:rPr>
          <w:rFonts w:ascii="宋体" w:eastAsia="宋体" w:hAnsi="宋体"/>
        </w:rPr>
        <w:t xml:space="preserve"> </w:t>
      </w:r>
      <w:r w:rsidRPr="00042024">
        <w:rPr>
          <w:rFonts w:ascii="宋体" w:eastAsia="宋体" w:hAnsi="宋体" w:hint="eastAsia"/>
        </w:rPr>
        <w:t>黎远波.</w:t>
      </w:r>
      <w:r w:rsidRPr="00042024">
        <w:rPr>
          <w:rFonts w:ascii="宋体" w:eastAsia="宋体" w:hAnsi="宋体"/>
        </w:rPr>
        <w:t xml:space="preserve"> </w:t>
      </w:r>
      <w:r w:rsidRPr="00042024">
        <w:rPr>
          <w:rFonts w:ascii="宋体" w:eastAsia="宋体" w:hAnsi="宋体" w:hint="eastAsia"/>
        </w:rPr>
        <w:t>时空双维下农业新质生产力驱动农民农村共同富裕的多元路径——基于省域面板数据的动态QCA分析[J].</w:t>
      </w:r>
      <w:r w:rsidRPr="00042024">
        <w:rPr>
          <w:rFonts w:ascii="宋体" w:eastAsia="宋体" w:hAnsi="宋体"/>
        </w:rPr>
        <w:t xml:space="preserve"> 2026. [5] </w:t>
      </w:r>
      <w:r w:rsidRPr="00042024">
        <w:rPr>
          <w:rFonts w:ascii="宋体" w:eastAsia="宋体" w:hAnsi="宋体" w:hint="eastAsia"/>
        </w:rPr>
        <w:t>许星宇，</w:t>
      </w:r>
      <w:r w:rsidRPr="00042024">
        <w:rPr>
          <w:rFonts w:ascii="宋体" w:eastAsia="宋体" w:hAnsi="宋体"/>
        </w:rPr>
        <w:t xml:space="preserve"> </w:t>
      </w:r>
      <w:r w:rsidRPr="00042024">
        <w:rPr>
          <w:rFonts w:ascii="宋体" w:eastAsia="宋体" w:hAnsi="宋体" w:hint="eastAsia"/>
        </w:rPr>
        <w:t>李波，</w:t>
      </w:r>
      <w:r w:rsidRPr="00042024">
        <w:rPr>
          <w:rFonts w:ascii="宋体" w:eastAsia="宋体" w:hAnsi="宋体"/>
        </w:rPr>
        <w:t xml:space="preserve"> </w:t>
      </w:r>
      <w:r w:rsidRPr="00042024">
        <w:rPr>
          <w:rFonts w:ascii="宋体" w:eastAsia="宋体" w:hAnsi="宋体" w:hint="eastAsia"/>
        </w:rPr>
        <w:t>王文英.</w:t>
      </w:r>
      <w:r w:rsidRPr="00042024">
        <w:rPr>
          <w:rFonts w:ascii="宋体" w:eastAsia="宋体" w:hAnsi="宋体"/>
        </w:rPr>
        <w:t xml:space="preserve"> </w:t>
      </w:r>
      <w:r w:rsidRPr="00042024">
        <w:rPr>
          <w:rFonts w:ascii="宋体" w:eastAsia="宋体" w:hAnsi="宋体" w:hint="eastAsia"/>
        </w:rPr>
        <w:t>农耕文化数字化赋能农民精神生活共同富裕的作用机理、实践路径与价值意蕴[J].</w:t>
      </w:r>
      <w:r w:rsidRPr="00042024">
        <w:rPr>
          <w:rFonts w:ascii="宋体" w:eastAsia="宋体" w:hAnsi="宋体"/>
        </w:rPr>
        <w:t xml:space="preserve"> </w:t>
      </w:r>
      <w:r w:rsidRPr="00042024">
        <w:rPr>
          <w:rFonts w:ascii="宋体" w:eastAsia="宋体" w:hAnsi="宋体" w:hint="eastAsia"/>
        </w:rPr>
        <w:t>阴山学刊，</w:t>
      </w:r>
      <w:r w:rsidRPr="00042024">
        <w:rPr>
          <w:rFonts w:ascii="宋体" w:eastAsia="宋体" w:hAnsi="宋体"/>
        </w:rPr>
        <w:t xml:space="preserve"> 2026, 39(4). [6] </w:t>
      </w:r>
      <w:r w:rsidRPr="00042024">
        <w:rPr>
          <w:rFonts w:ascii="宋体" w:eastAsia="宋体" w:hAnsi="宋体" w:hint="eastAsia"/>
        </w:rPr>
        <w:t>马艺鸽.</w:t>
      </w:r>
      <w:r w:rsidRPr="00042024">
        <w:rPr>
          <w:rFonts w:ascii="宋体" w:eastAsia="宋体" w:hAnsi="宋体"/>
        </w:rPr>
        <w:t xml:space="preserve"> </w:t>
      </w:r>
      <w:r w:rsidRPr="00042024">
        <w:rPr>
          <w:rFonts w:ascii="宋体" w:eastAsia="宋体" w:hAnsi="宋体" w:hint="eastAsia"/>
        </w:rPr>
        <w:t>新质生产力赋能河南乡村振兴的内在逻辑与实践路径[J].</w:t>
      </w:r>
      <w:r w:rsidRPr="00042024">
        <w:rPr>
          <w:rFonts w:ascii="宋体" w:eastAsia="宋体" w:hAnsi="宋体"/>
        </w:rPr>
        <w:t xml:space="preserve"> 2025(4). [7] </w:t>
      </w:r>
      <w:r w:rsidRPr="00042024">
        <w:rPr>
          <w:rFonts w:ascii="宋体" w:eastAsia="宋体" w:hAnsi="宋体" w:hint="eastAsia"/>
        </w:rPr>
        <w:t>开封市统计局.</w:t>
      </w:r>
      <w:r w:rsidRPr="00042024">
        <w:rPr>
          <w:rFonts w:ascii="宋体" w:eastAsia="宋体" w:hAnsi="宋体"/>
        </w:rPr>
        <w:t xml:space="preserve"> </w:t>
      </w:r>
      <w:r w:rsidRPr="00042024">
        <w:rPr>
          <w:rFonts w:ascii="宋体" w:eastAsia="宋体" w:hAnsi="宋体" w:hint="eastAsia"/>
        </w:rPr>
        <w:t>开封统计年鉴（2024）[M].</w:t>
      </w:r>
      <w:r w:rsidRPr="00042024">
        <w:rPr>
          <w:rFonts w:ascii="宋体" w:eastAsia="宋体" w:hAnsi="宋体"/>
        </w:rPr>
        <w:t xml:space="preserve"> 2024. [8] </w:t>
      </w:r>
      <w:r w:rsidRPr="00042024">
        <w:rPr>
          <w:rFonts w:ascii="宋体" w:eastAsia="宋体" w:hAnsi="宋体" w:hint="eastAsia"/>
        </w:rPr>
        <w:t>兰考县人民政府.</w:t>
      </w:r>
      <w:r w:rsidRPr="00042024">
        <w:rPr>
          <w:rFonts w:ascii="宋体" w:eastAsia="宋体" w:hAnsi="宋体"/>
        </w:rPr>
        <w:t xml:space="preserve"> </w:t>
      </w:r>
      <w:r w:rsidRPr="00042024">
        <w:rPr>
          <w:rFonts w:ascii="宋体" w:eastAsia="宋体" w:hAnsi="宋体" w:hint="eastAsia"/>
        </w:rPr>
        <w:t>兰考县2025年国民经济和社会发展统计公报[R].</w:t>
      </w:r>
      <w:r w:rsidRPr="00042024">
        <w:rPr>
          <w:rFonts w:ascii="宋体" w:eastAsia="宋体" w:hAnsi="宋体"/>
        </w:rPr>
        <w:t xml:space="preserve"> 2025. [9] </w:t>
      </w:r>
      <w:r w:rsidRPr="00042024">
        <w:rPr>
          <w:rFonts w:ascii="宋体" w:eastAsia="宋体" w:hAnsi="宋体" w:hint="eastAsia"/>
        </w:rPr>
        <w:t>开封网.</w:t>
      </w:r>
      <w:r w:rsidRPr="00042024">
        <w:rPr>
          <w:rFonts w:ascii="宋体" w:eastAsia="宋体" w:hAnsi="宋体"/>
        </w:rPr>
        <w:t xml:space="preserve"> </w:t>
      </w:r>
      <w:r w:rsidRPr="00042024">
        <w:rPr>
          <w:rFonts w:ascii="宋体" w:eastAsia="宋体" w:hAnsi="宋体" w:hint="eastAsia"/>
        </w:rPr>
        <w:t>探寻乡村振兴的新质力量——南开大学中</w:t>
      </w:r>
      <w:r w:rsidRPr="00042024">
        <w:rPr>
          <w:rFonts w:ascii="宋体" w:eastAsia="宋体" w:hAnsi="宋体" w:hint="eastAsia"/>
        </w:rPr>
        <w:lastRenderedPageBreak/>
        <w:t>国式现代化张庄村工作站2024寒假行[N].</w:t>
      </w:r>
      <w:r w:rsidRPr="00042024">
        <w:rPr>
          <w:rFonts w:ascii="宋体" w:eastAsia="宋体" w:hAnsi="宋体"/>
        </w:rPr>
        <w:t xml:space="preserve"> 2024-01-25. [10] </w:t>
      </w:r>
      <w:r w:rsidRPr="00042024">
        <w:rPr>
          <w:rFonts w:ascii="宋体" w:eastAsia="宋体" w:hAnsi="宋体" w:hint="eastAsia"/>
        </w:rPr>
        <w:t>央视新闻.</w:t>
      </w:r>
      <w:r w:rsidRPr="00042024">
        <w:rPr>
          <w:rFonts w:ascii="宋体" w:eastAsia="宋体" w:hAnsi="宋体"/>
        </w:rPr>
        <w:t xml:space="preserve"> </w:t>
      </w:r>
      <w:r w:rsidRPr="00042024">
        <w:rPr>
          <w:rFonts w:ascii="宋体" w:eastAsia="宋体" w:hAnsi="宋体" w:hint="eastAsia"/>
        </w:rPr>
        <w:t>兰考：全国首个农村能源革命试点县的绿色转型之路[N].</w:t>
      </w:r>
      <w:r w:rsidRPr="00042024">
        <w:rPr>
          <w:rFonts w:ascii="宋体" w:eastAsia="宋体" w:hAnsi="宋体"/>
        </w:rPr>
        <w:t xml:space="preserve"> 2025. [11] </w:t>
      </w:r>
      <w:r w:rsidRPr="00042024">
        <w:rPr>
          <w:rFonts w:ascii="宋体" w:eastAsia="宋体" w:hAnsi="宋体" w:hint="eastAsia"/>
        </w:rPr>
        <w:t>大河网.</w:t>
      </w:r>
      <w:r w:rsidRPr="00042024">
        <w:rPr>
          <w:rFonts w:ascii="宋体" w:eastAsia="宋体" w:hAnsi="宋体"/>
        </w:rPr>
        <w:t xml:space="preserve"> </w:t>
      </w:r>
      <w:r w:rsidRPr="00042024">
        <w:rPr>
          <w:rFonts w:ascii="宋体" w:eastAsia="宋体" w:hAnsi="宋体" w:hint="eastAsia"/>
        </w:rPr>
        <w:t>数字乡村建设的兰考实践与思考[N].</w:t>
      </w:r>
      <w:r w:rsidRPr="00042024">
        <w:rPr>
          <w:rFonts w:ascii="宋体" w:eastAsia="宋体" w:hAnsi="宋体"/>
        </w:rPr>
        <w:t xml:space="preserve"> 2025.</w:t>
      </w:r>
      <w:bookmarkEnd w:id="0"/>
      <w:bookmarkEnd w:id="24"/>
    </w:p>
    <w:sectPr w:rsidR="00D743A3" w:rsidRPr="00042024">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78F4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09916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743A3"/>
    <w:rsid w:val="00042024"/>
    <w:rsid w:val="005A00C6"/>
    <w:rsid w:val="00D74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26EB68"/>
  <w15:docId w15:val="{8784EE32-A6FD-4A32-BC46-21F7E45DD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2527</Words>
  <Characters>2755</Characters>
  <Application>Microsoft Office Word</Application>
  <DocSecurity>0</DocSecurity>
  <Lines>95</Lines>
  <Paragraphs>45</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润 史</cp:lastModifiedBy>
  <cp:revision>2</cp:revision>
  <dcterms:created xsi:type="dcterms:W3CDTF">2026-07-08T02:35:00Z</dcterms:created>
  <dcterms:modified xsi:type="dcterms:W3CDTF">2026-07-08T02:38:00Z</dcterms:modified>
</cp:coreProperties>
</file>