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media/image28.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chartEx1.xml" ContentType="application/vnd.ms-office.chartex+xml"/>
  <Override PartName="/word/charts/colors3.xml" ContentType="application/vnd.ms-office.chartcolorstyle+xml"/>
  <Override PartName="/word/charts/style3.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D1221" w14:textId="6AE3D37D" w:rsidR="007849B8" w:rsidRDefault="007849B8" w:rsidP="007849B8">
      <w:r>
        <w:rPr>
          <w:rFonts w:hint="eastAsia"/>
        </w:rPr>
        <w:t>题目</w:t>
      </w:r>
    </w:p>
    <w:p w14:paraId="3EFD3A8E" w14:textId="14E95D60" w:rsidR="007849B8" w:rsidRDefault="007849B8" w:rsidP="007849B8">
      <w:r>
        <w:rPr>
          <w:rFonts w:hint="eastAsia"/>
        </w:rPr>
        <w:t>摘要</w:t>
      </w:r>
    </w:p>
    <w:p w14:paraId="79A82269" w14:textId="51CE06EA" w:rsidR="00411615" w:rsidRDefault="007849B8" w:rsidP="00411615">
      <w:r>
        <w:rPr>
          <w:rFonts w:hint="eastAsia"/>
        </w:rPr>
        <w:t>关键词（黑体不加粗小四号）：</w:t>
      </w:r>
      <w:r w:rsidR="00411615">
        <w:t xml:space="preserve"> </w:t>
      </w:r>
    </w:p>
    <w:p w14:paraId="42CB297E" w14:textId="41355919" w:rsidR="007849B8" w:rsidRDefault="007849B8" w:rsidP="007849B8"/>
    <w:p w14:paraId="32D36616" w14:textId="77777777" w:rsidR="007849B8" w:rsidRDefault="007849B8" w:rsidP="007849B8"/>
    <w:p w14:paraId="670E23DD" w14:textId="77777777" w:rsidR="007849B8" w:rsidRDefault="007849B8" w:rsidP="007849B8"/>
    <w:p w14:paraId="46E694E1" w14:textId="77777777" w:rsidR="007849B8" w:rsidRDefault="007849B8" w:rsidP="007849B8"/>
    <w:p w14:paraId="381E1236" w14:textId="77777777" w:rsidR="007849B8" w:rsidRDefault="007849B8" w:rsidP="007849B8"/>
    <w:p w14:paraId="3F62FDCC" w14:textId="77777777" w:rsidR="007849B8" w:rsidRDefault="007849B8" w:rsidP="007849B8"/>
    <w:p w14:paraId="05B45E79" w14:textId="77777777" w:rsidR="007849B8" w:rsidRDefault="007849B8" w:rsidP="007849B8"/>
    <w:p w14:paraId="50E6CC7E" w14:textId="77777777" w:rsidR="007849B8" w:rsidRDefault="007849B8" w:rsidP="007849B8"/>
    <w:p w14:paraId="4AF4600D" w14:textId="77777777" w:rsidR="007849B8" w:rsidRDefault="007849B8" w:rsidP="007849B8"/>
    <w:p w14:paraId="0495B87E" w14:textId="77777777" w:rsidR="007849B8" w:rsidRDefault="007849B8" w:rsidP="007849B8"/>
    <w:p w14:paraId="0E3B9722" w14:textId="77777777" w:rsidR="007849B8" w:rsidRDefault="007849B8" w:rsidP="007849B8"/>
    <w:p w14:paraId="6C8ABC56" w14:textId="77777777" w:rsidR="007849B8" w:rsidRDefault="007849B8" w:rsidP="007849B8"/>
    <w:p w14:paraId="31E8DD14" w14:textId="77777777" w:rsidR="007849B8" w:rsidRDefault="007849B8" w:rsidP="007849B8"/>
    <w:p w14:paraId="49070BF8" w14:textId="77777777" w:rsidR="007849B8" w:rsidRDefault="007849B8" w:rsidP="007849B8"/>
    <w:p w14:paraId="29E9E02D" w14:textId="77777777" w:rsidR="007849B8" w:rsidRDefault="007849B8" w:rsidP="007849B8"/>
    <w:p w14:paraId="09AC9EAD" w14:textId="77777777" w:rsidR="007849B8" w:rsidRDefault="007849B8" w:rsidP="007849B8"/>
    <w:p w14:paraId="221A6CC7" w14:textId="77777777" w:rsidR="007849B8" w:rsidRDefault="007849B8" w:rsidP="007849B8"/>
    <w:p w14:paraId="2AE01A2C" w14:textId="77777777" w:rsidR="007849B8" w:rsidRDefault="007849B8" w:rsidP="007849B8"/>
    <w:p w14:paraId="55C4775C" w14:textId="67EC2402" w:rsidR="007849B8" w:rsidRDefault="007849B8" w:rsidP="007849B8"/>
    <w:p w14:paraId="692E5B3B" w14:textId="326EE5F6" w:rsidR="00411615" w:rsidRDefault="00411615" w:rsidP="007849B8"/>
    <w:p w14:paraId="6378EE0C" w14:textId="315140D7" w:rsidR="00411615" w:rsidRDefault="00411615" w:rsidP="007849B8"/>
    <w:p w14:paraId="153142F6" w14:textId="1DE29C74" w:rsidR="00411615" w:rsidRDefault="00411615" w:rsidP="007849B8"/>
    <w:p w14:paraId="1998D3C0" w14:textId="17003CC7" w:rsidR="00411615" w:rsidRDefault="00411615" w:rsidP="007849B8"/>
    <w:p w14:paraId="7F285177" w14:textId="48CA44C1" w:rsidR="00411615" w:rsidRDefault="00411615" w:rsidP="007849B8"/>
    <w:p w14:paraId="12BC8A24" w14:textId="660C3B60" w:rsidR="00411615" w:rsidRDefault="00411615" w:rsidP="007849B8"/>
    <w:p w14:paraId="7E4EC9D5" w14:textId="2FA1E92A" w:rsidR="00411615" w:rsidRDefault="00411615" w:rsidP="007849B8"/>
    <w:p w14:paraId="717AC29A" w14:textId="0D887FB1" w:rsidR="00411615" w:rsidRDefault="00411615" w:rsidP="007849B8"/>
    <w:p w14:paraId="48975296" w14:textId="7048218D" w:rsidR="00411615" w:rsidRDefault="00411615" w:rsidP="007849B8"/>
    <w:p w14:paraId="1A3C0EFE" w14:textId="0D17E7FD" w:rsidR="00411615" w:rsidRDefault="00411615" w:rsidP="007849B8"/>
    <w:p w14:paraId="692B93D9" w14:textId="47D3DBDA" w:rsidR="00411615" w:rsidRDefault="00411615" w:rsidP="007849B8"/>
    <w:p w14:paraId="25A602E1" w14:textId="6CC92C8E" w:rsidR="00411615" w:rsidRDefault="00411615" w:rsidP="007849B8"/>
    <w:p w14:paraId="7CBF33FA" w14:textId="4E39E958" w:rsidR="00411615" w:rsidRDefault="00411615" w:rsidP="007849B8"/>
    <w:p w14:paraId="1EB9A19F" w14:textId="527A23A2" w:rsidR="00411615" w:rsidRDefault="00411615" w:rsidP="007849B8"/>
    <w:p w14:paraId="32B5D3A5" w14:textId="048539F6" w:rsidR="00411615" w:rsidRDefault="00411615" w:rsidP="007849B8"/>
    <w:p w14:paraId="060D3DC1" w14:textId="4506CF1C" w:rsidR="00411615" w:rsidRDefault="00411615" w:rsidP="007849B8"/>
    <w:p w14:paraId="31442F47" w14:textId="1FD682EC" w:rsidR="00411615" w:rsidRDefault="00411615" w:rsidP="007849B8"/>
    <w:p w14:paraId="03696032" w14:textId="7C9C0413" w:rsidR="00411615" w:rsidRDefault="00411615" w:rsidP="007849B8"/>
    <w:p w14:paraId="085549A9" w14:textId="4AF79C81" w:rsidR="00411615" w:rsidRDefault="00411615" w:rsidP="007849B8"/>
    <w:p w14:paraId="183BDEFA" w14:textId="4BE5D5B1" w:rsidR="00411615" w:rsidRDefault="00411615" w:rsidP="007849B8"/>
    <w:p w14:paraId="4B43BBF8" w14:textId="77777777" w:rsidR="00411615" w:rsidRDefault="00411615" w:rsidP="007849B8"/>
    <w:p w14:paraId="15DE6D53" w14:textId="77777777" w:rsidR="007849B8" w:rsidRDefault="007849B8" w:rsidP="007849B8"/>
    <w:p w14:paraId="423D1A2B" w14:textId="08803BB0" w:rsidR="007849B8" w:rsidRDefault="007849B8" w:rsidP="007849B8">
      <w:r>
        <w:rPr>
          <w:rFonts w:hint="eastAsia"/>
        </w:rPr>
        <w:lastRenderedPageBreak/>
        <w:t>一、问题重述</w:t>
      </w:r>
    </w:p>
    <w:p w14:paraId="3A7E8350" w14:textId="77777777" w:rsidR="00411615" w:rsidRDefault="00411615" w:rsidP="007849B8"/>
    <w:p w14:paraId="088FB2EF" w14:textId="22807822" w:rsidR="00CF0B2C" w:rsidRDefault="00CF0B2C" w:rsidP="007849B8">
      <w:r>
        <w:rPr>
          <w:rFonts w:hint="eastAsia"/>
        </w:rPr>
        <w:t>1.</w:t>
      </w:r>
      <w:r>
        <w:t>1</w:t>
      </w:r>
      <w:r w:rsidR="003B4EC1">
        <w:rPr>
          <w:rFonts w:hint="eastAsia"/>
        </w:rPr>
        <w:t xml:space="preserve"> </w:t>
      </w:r>
      <w:r>
        <w:rPr>
          <w:rFonts w:hint="eastAsia"/>
        </w:rPr>
        <w:t>问题背景</w:t>
      </w:r>
    </w:p>
    <w:p w14:paraId="358D66E6" w14:textId="77777777" w:rsidR="00411615" w:rsidRDefault="00411615" w:rsidP="007849B8"/>
    <w:p w14:paraId="0F9F625E" w14:textId="7FFDE907" w:rsidR="004A4018" w:rsidRDefault="00981B4D" w:rsidP="003B4EC1">
      <w:r>
        <w:rPr>
          <w:rFonts w:hint="eastAsia"/>
        </w:rPr>
        <w:t>中国作为世界上最大的发展中国家，能源消耗逐年以惊人的速度增长</w:t>
      </w:r>
      <w:r w:rsidR="009E4599">
        <w:rPr>
          <w:rFonts w:hint="eastAsia"/>
        </w:rPr>
        <w:t>，</w:t>
      </w:r>
      <w:r w:rsidR="004D0459">
        <w:rPr>
          <w:rFonts w:hint="eastAsia"/>
        </w:rPr>
        <w:t>如何实现环境可持续发展成为了</w:t>
      </w:r>
      <w:r w:rsidR="005A22F6">
        <w:rPr>
          <w:rFonts w:hint="eastAsia"/>
        </w:rPr>
        <w:t>全国上下</w:t>
      </w:r>
      <w:r w:rsidR="004D0459">
        <w:rPr>
          <w:rFonts w:hint="eastAsia"/>
        </w:rPr>
        <w:t>的</w:t>
      </w:r>
      <w:r w:rsidR="005A22F6">
        <w:rPr>
          <w:rFonts w:hint="eastAsia"/>
        </w:rPr>
        <w:t>一致</w:t>
      </w:r>
      <w:r w:rsidR="004D0459">
        <w:rPr>
          <w:rFonts w:hint="eastAsia"/>
        </w:rPr>
        <w:t>呼声。</w:t>
      </w:r>
      <w:r w:rsidR="00493626">
        <w:rPr>
          <w:rFonts w:hint="eastAsia"/>
        </w:rPr>
        <w:t>而建筑作为能耗大户，其节能效益的提升显得尤为重要。</w:t>
      </w:r>
      <w:r w:rsidR="003B4EC1">
        <w:rPr>
          <w:rFonts w:hint="eastAsia"/>
        </w:rPr>
        <w:t>光伏建筑一体化</w:t>
      </w:r>
      <w:r w:rsidR="001C7A39">
        <w:rPr>
          <w:rFonts w:hint="eastAsia"/>
        </w:rPr>
        <w:t>【1】</w:t>
      </w:r>
      <w:r w:rsidR="003B4EC1">
        <w:rPr>
          <w:rFonts w:hint="eastAsia"/>
        </w:rPr>
        <w:t>(B</w:t>
      </w:r>
      <w:r w:rsidR="003B4EC1">
        <w:t>IPV)</w:t>
      </w:r>
      <w:r w:rsidR="003B4EC1" w:rsidRPr="003B4EC1">
        <w:rPr>
          <w:rFonts w:hint="eastAsia"/>
        </w:rPr>
        <w:t>是一种将太阳能发电（光伏）产品集成到建筑上的技术</w:t>
      </w:r>
      <w:r w:rsidR="00D81B90">
        <w:rPr>
          <w:rFonts w:hint="eastAsia"/>
        </w:rPr>
        <w:t>，</w:t>
      </w:r>
      <w:r w:rsidR="00E2404F">
        <w:rPr>
          <w:rFonts w:hint="eastAsia"/>
        </w:rPr>
        <w:t>具有</w:t>
      </w:r>
      <w:r w:rsidR="00490570">
        <w:rPr>
          <w:rFonts w:hint="eastAsia"/>
        </w:rPr>
        <w:t>建筑节能、</w:t>
      </w:r>
      <w:r w:rsidR="00E2404F">
        <w:rPr>
          <w:rFonts w:hint="eastAsia"/>
        </w:rPr>
        <w:t>绿色环保、不占用土地、</w:t>
      </w:r>
      <w:r w:rsidR="00490570">
        <w:rPr>
          <w:rFonts w:hint="eastAsia"/>
        </w:rPr>
        <w:t>节省投资的优点，</w:t>
      </w:r>
      <w:r w:rsidR="00D81B90">
        <w:rPr>
          <w:rFonts w:hint="eastAsia"/>
        </w:rPr>
        <w:t>对</w:t>
      </w:r>
      <w:r w:rsidR="00601831">
        <w:rPr>
          <w:rFonts w:hint="eastAsia"/>
        </w:rPr>
        <w:t>建筑环保</w:t>
      </w:r>
      <w:r w:rsidR="00D81B90">
        <w:rPr>
          <w:rFonts w:hint="eastAsia"/>
        </w:rPr>
        <w:t>有着</w:t>
      </w:r>
      <w:r w:rsidR="007614BD">
        <w:rPr>
          <w:rFonts w:hint="eastAsia"/>
        </w:rPr>
        <w:t>至关重要</w:t>
      </w:r>
      <w:r w:rsidR="00D81B90">
        <w:rPr>
          <w:rFonts w:hint="eastAsia"/>
        </w:rPr>
        <w:t>的作用</w:t>
      </w:r>
      <w:r w:rsidR="003B4EC1" w:rsidRPr="003B4EC1">
        <w:rPr>
          <w:rFonts w:hint="eastAsia"/>
        </w:rPr>
        <w:t>。</w:t>
      </w:r>
      <w:r w:rsidR="00F53621">
        <w:rPr>
          <w:rFonts w:hint="eastAsia"/>
        </w:rPr>
        <w:t>近年来，</w:t>
      </w:r>
      <w:r w:rsidR="00336B83">
        <w:rPr>
          <w:rFonts w:hint="eastAsia"/>
        </w:rPr>
        <w:t>光伏建筑一体化得到国家政策的大力推动：2</w:t>
      </w:r>
      <w:r w:rsidR="00336B83">
        <w:t>003</w:t>
      </w:r>
      <w:r w:rsidR="00336B83">
        <w:rPr>
          <w:rFonts w:hint="eastAsia"/>
        </w:rPr>
        <w:t>年，北京市大兴区“屋顶型光伏网示范电站”是国家科技部“十五”</w:t>
      </w:r>
      <w:r w:rsidR="00236DC1">
        <w:rPr>
          <w:rFonts w:hint="eastAsia"/>
        </w:rPr>
        <w:t>科技攻关项目</w:t>
      </w:r>
      <w:r w:rsidR="00D90913">
        <w:rPr>
          <w:rFonts w:hint="eastAsia"/>
        </w:rPr>
        <w:t>；</w:t>
      </w:r>
      <w:r w:rsidR="00D90913" w:rsidRPr="00D90913">
        <w:t>2004年，深圳建成目前亚洲最大的并网太阳能光伏电站，设计及安装与深圳综合展馆、花卉展馆等建筑融为一体，堪称国内绿色建筑的典范</w:t>
      </w:r>
      <w:r w:rsidR="00D90913">
        <w:rPr>
          <w:rFonts w:hint="eastAsia"/>
        </w:rPr>
        <w:t>；</w:t>
      </w:r>
      <w:r w:rsidR="00F056E7" w:rsidRPr="00F056E7">
        <w:rPr>
          <w:rFonts w:hint="eastAsia"/>
        </w:rPr>
        <w:t>北京南站中，主站房屋面中央采光带也采用了太阳能光伏发电系统，该系统总发电量约</w:t>
      </w:r>
      <w:r w:rsidR="00F056E7" w:rsidRPr="00F056E7">
        <w:t>320千瓦，可辅助解决车站的用电问题</w:t>
      </w:r>
      <w:r w:rsidR="002B2C7C">
        <w:rPr>
          <w:rFonts w:hint="eastAsia"/>
        </w:rPr>
        <w:t>；</w:t>
      </w:r>
      <w:r w:rsidR="00C649BB" w:rsidRPr="00C649BB">
        <w:rPr>
          <w:rFonts w:hint="eastAsia"/>
        </w:rPr>
        <w:t>中国首个彩色透光薄膜组件应用示范项目——天威薄膜光伏建筑一体化项目</w:t>
      </w:r>
      <w:r w:rsidR="00C649BB">
        <w:rPr>
          <w:rFonts w:hint="eastAsia"/>
        </w:rPr>
        <w:t>也已经</w:t>
      </w:r>
      <w:r w:rsidR="00C649BB" w:rsidRPr="00C649BB">
        <w:rPr>
          <w:rFonts w:hint="eastAsia"/>
        </w:rPr>
        <w:t>顺利通过国家级验收。</w:t>
      </w:r>
      <w:r w:rsidR="00924758">
        <w:rPr>
          <w:rFonts w:hint="eastAsia"/>
        </w:rPr>
        <w:t>作为庞大的建筑市场与光伏市场的结合点，</w:t>
      </w:r>
      <w:r w:rsidR="006F0539">
        <w:rPr>
          <w:rFonts w:hint="eastAsia"/>
        </w:rPr>
        <w:t>光伏建筑一体化</w:t>
      </w:r>
      <w:r w:rsidR="00924758">
        <w:rPr>
          <w:rFonts w:hint="eastAsia"/>
        </w:rPr>
        <w:t>必将存在着无比光明的发展前景，</w:t>
      </w:r>
      <w:r w:rsidR="00282694">
        <w:rPr>
          <w:rFonts w:hint="eastAsia"/>
        </w:rPr>
        <w:t>具有巨大的市场潜力。</w:t>
      </w:r>
    </w:p>
    <w:p w14:paraId="75EB1BD8" w14:textId="54037C6D" w:rsidR="002D5EDD" w:rsidRDefault="00D821A1" w:rsidP="00D255F3">
      <w:r w:rsidRPr="00D821A1">
        <w:rPr>
          <w:rFonts w:hint="eastAsia"/>
        </w:rPr>
        <w:t>中国证券市场</w:t>
      </w:r>
      <w:r w:rsidR="003443D9">
        <w:rPr>
          <w:rFonts w:hint="eastAsia"/>
        </w:rPr>
        <w:t>【2】</w:t>
      </w:r>
      <w:r w:rsidRPr="00D821A1">
        <w:rPr>
          <w:rFonts w:hint="eastAsia"/>
        </w:rPr>
        <w:t>从</w:t>
      </w:r>
      <w:r w:rsidRPr="00D821A1">
        <w:t>1870年至今已有120多年的历史，</w:t>
      </w:r>
      <w:r w:rsidR="006E432E">
        <w:rPr>
          <w:rFonts w:hint="eastAsia"/>
        </w:rPr>
        <w:t>是国有企业股份制的改革产物。</w:t>
      </w:r>
      <w:r w:rsidR="00D04F3E">
        <w:rPr>
          <w:rFonts w:hint="eastAsia"/>
        </w:rPr>
        <w:t>中国股市刚刚开张之时，上市交易的只有沪市的“老八股”和深市的“老六股”，总市值不过</w:t>
      </w:r>
      <w:r w:rsidR="00D04F3E">
        <w:t>20多亿元</w:t>
      </w:r>
      <w:r w:rsidR="00D04F3E">
        <w:rPr>
          <w:rFonts w:hint="eastAsia"/>
        </w:rPr>
        <w:t>，</w:t>
      </w:r>
      <w:r w:rsidR="00D255F3">
        <w:rPr>
          <w:rFonts w:hint="eastAsia"/>
        </w:rPr>
        <w:t>但截至</w:t>
      </w:r>
      <w:r w:rsidR="00D255F3">
        <w:t>2020年</w:t>
      </w:r>
      <w:r w:rsidR="00D04F3E">
        <w:rPr>
          <w:rFonts w:hint="eastAsia"/>
        </w:rPr>
        <w:t>底</w:t>
      </w:r>
      <w:r w:rsidR="00D255F3">
        <w:t>，两市上市公司家数已经达到4100家</w:t>
      </w:r>
      <w:r w:rsidR="00F7597A">
        <w:rPr>
          <w:rFonts w:hint="eastAsia"/>
        </w:rPr>
        <w:t>；</w:t>
      </w:r>
      <w:r w:rsidR="00D255F3">
        <w:t>其中A股上市公司数突破1000家是在2000年，2010年突破2000，2016年突破3000，2020年9月突破4000家</w:t>
      </w:r>
      <w:r w:rsidR="00F7597A">
        <w:rPr>
          <w:rFonts w:hint="eastAsia"/>
        </w:rPr>
        <w:t>。</w:t>
      </w:r>
      <w:r w:rsidR="00731FFF">
        <w:rPr>
          <w:rFonts w:hint="eastAsia"/>
        </w:rPr>
        <w:t>中国股市在近几十年来发生着翻天覆地的</w:t>
      </w:r>
      <w:r w:rsidR="00D6201F">
        <w:rPr>
          <w:rFonts w:hint="eastAsia"/>
        </w:rPr>
        <w:t>变化</w:t>
      </w:r>
      <w:r w:rsidR="00731FFF">
        <w:rPr>
          <w:rFonts w:hint="eastAsia"/>
        </w:rPr>
        <w:t>。</w:t>
      </w:r>
      <w:r w:rsidR="00ED4AB6">
        <w:rPr>
          <w:rFonts w:hint="eastAsia"/>
        </w:rPr>
        <w:t>除了</w:t>
      </w:r>
      <w:r w:rsidR="00C24171">
        <w:rPr>
          <w:rFonts w:hint="eastAsia"/>
        </w:rPr>
        <w:t>促动投资、就业、出口、消费</w:t>
      </w:r>
      <w:r w:rsidR="00F36B1A">
        <w:rPr>
          <w:rFonts w:hint="eastAsia"/>
        </w:rPr>
        <w:t>以外</w:t>
      </w:r>
      <w:r w:rsidR="00C24171">
        <w:rPr>
          <w:rFonts w:hint="eastAsia"/>
        </w:rPr>
        <w:t>，</w:t>
      </w:r>
      <w:r w:rsidR="00F47AED">
        <w:rPr>
          <w:rFonts w:hint="eastAsia"/>
        </w:rPr>
        <w:t>股票</w:t>
      </w:r>
      <w:r w:rsidR="006F08D6">
        <w:rPr>
          <w:rFonts w:hint="eastAsia"/>
        </w:rPr>
        <w:t>还</w:t>
      </w:r>
      <w:r w:rsidR="00F47AED">
        <w:rPr>
          <w:rFonts w:hint="eastAsia"/>
        </w:rPr>
        <w:t>可以</w:t>
      </w:r>
      <w:r w:rsidR="0037335B">
        <w:rPr>
          <w:rFonts w:hint="eastAsia"/>
        </w:rPr>
        <w:t>对</w:t>
      </w:r>
      <w:r w:rsidR="0053287C">
        <w:rPr>
          <w:rFonts w:hint="eastAsia"/>
        </w:rPr>
        <w:t>行业运营态势与发展前景</w:t>
      </w:r>
      <w:r w:rsidR="005413BC">
        <w:rPr>
          <w:rFonts w:hint="eastAsia"/>
        </w:rPr>
        <w:t>作</w:t>
      </w:r>
      <w:r w:rsidR="0037335B">
        <w:rPr>
          <w:rFonts w:hint="eastAsia"/>
        </w:rPr>
        <w:t>分析与预测</w:t>
      </w:r>
      <w:r w:rsidR="0053287C">
        <w:rPr>
          <w:rFonts w:hint="eastAsia"/>
        </w:rPr>
        <w:t>。</w:t>
      </w:r>
      <w:r w:rsidR="00843B0C">
        <w:rPr>
          <w:rFonts w:hint="eastAsia"/>
        </w:rPr>
        <w:t>分析股票板块市场的走势</w:t>
      </w:r>
      <w:r w:rsidR="00165280">
        <w:rPr>
          <w:rFonts w:hint="eastAsia"/>
        </w:rPr>
        <w:t>，是把握行业发展趋势，洞悉行业竞争格局，规避经营和投资风险，制定正确发展战略的重要工具。</w:t>
      </w:r>
    </w:p>
    <w:p w14:paraId="45E8C610" w14:textId="42BC0E9E" w:rsidR="00902AA7" w:rsidRDefault="004A4018" w:rsidP="003B4EC1">
      <w:r>
        <w:rPr>
          <w:rFonts w:hint="eastAsia"/>
        </w:rPr>
        <w:t>如</w:t>
      </w:r>
      <w:r w:rsidR="00902AA7">
        <w:rPr>
          <w:rFonts w:hint="eastAsia"/>
        </w:rPr>
        <w:t>何利用光伏建筑一体化</w:t>
      </w:r>
      <w:r w:rsidR="00780D1A">
        <w:rPr>
          <w:rFonts w:hint="eastAsia"/>
        </w:rPr>
        <w:t>板块</w:t>
      </w:r>
      <w:r w:rsidR="00902AA7">
        <w:rPr>
          <w:rFonts w:hint="eastAsia"/>
        </w:rPr>
        <w:t>的股票数据</w:t>
      </w:r>
      <w:r w:rsidR="00A43CAA">
        <w:rPr>
          <w:rFonts w:hint="eastAsia"/>
        </w:rPr>
        <w:t>建立</w:t>
      </w:r>
      <w:r w:rsidR="008E4C17">
        <w:rPr>
          <w:rFonts w:hint="eastAsia"/>
        </w:rPr>
        <w:t>预测</w:t>
      </w:r>
      <w:r w:rsidR="00A43CAA">
        <w:rPr>
          <w:rFonts w:hint="eastAsia"/>
        </w:rPr>
        <w:t>模型</w:t>
      </w:r>
      <w:r w:rsidR="00EF1EF9">
        <w:rPr>
          <w:rFonts w:hint="eastAsia"/>
        </w:rPr>
        <w:t>与相关性模型</w:t>
      </w:r>
      <w:r w:rsidR="00A43CAA">
        <w:rPr>
          <w:rFonts w:hint="eastAsia"/>
        </w:rPr>
        <w:t>，</w:t>
      </w:r>
      <w:r w:rsidR="00EF1EF9">
        <w:rPr>
          <w:rFonts w:hint="eastAsia"/>
        </w:rPr>
        <w:t>并</w:t>
      </w:r>
      <w:r w:rsidR="008E4C17">
        <w:rPr>
          <w:rFonts w:hint="eastAsia"/>
        </w:rPr>
        <w:t>给出合理的投资建议</w:t>
      </w:r>
      <w:r w:rsidR="00A43CAA">
        <w:rPr>
          <w:rFonts w:hint="eastAsia"/>
        </w:rPr>
        <w:t>，从而得出我国光伏建筑一体化行业未来发展的趋势，</w:t>
      </w:r>
      <w:r w:rsidR="00686DDE">
        <w:rPr>
          <w:rFonts w:hint="eastAsia"/>
        </w:rPr>
        <w:t>是本文探讨的重点</w:t>
      </w:r>
      <w:r w:rsidR="008F7986">
        <w:rPr>
          <w:rFonts w:hint="eastAsia"/>
        </w:rPr>
        <w:t>问题</w:t>
      </w:r>
      <w:r w:rsidR="00686DDE">
        <w:rPr>
          <w:rFonts w:hint="eastAsia"/>
        </w:rPr>
        <w:t>。</w:t>
      </w:r>
    </w:p>
    <w:p w14:paraId="43899CF0" w14:textId="77777777" w:rsidR="000B0F58" w:rsidRDefault="000B0F58" w:rsidP="003B4EC1"/>
    <w:p w14:paraId="4DA9A4D7" w14:textId="0D306A1D" w:rsidR="00CF0B2C" w:rsidRDefault="00E17FFC" w:rsidP="007849B8">
      <w:r>
        <w:t xml:space="preserve">1.2 </w:t>
      </w:r>
      <w:r w:rsidR="009C5D5C">
        <w:rPr>
          <w:rFonts w:hint="eastAsia"/>
        </w:rPr>
        <w:t>需</w:t>
      </w:r>
      <w:r w:rsidR="00A40E6B">
        <w:rPr>
          <w:rFonts w:hint="eastAsia"/>
        </w:rPr>
        <w:t>要</w:t>
      </w:r>
      <w:r w:rsidR="009C5D5C">
        <w:rPr>
          <w:rFonts w:hint="eastAsia"/>
        </w:rPr>
        <w:t>解决的问题</w:t>
      </w:r>
    </w:p>
    <w:p w14:paraId="237315F8" w14:textId="77777777" w:rsidR="00A40E6B" w:rsidRDefault="00A40E6B" w:rsidP="007849B8"/>
    <w:p w14:paraId="1695041B" w14:textId="0D94BC0E" w:rsidR="009C5D5C" w:rsidRDefault="00EE36D3" w:rsidP="007849B8">
      <w:r>
        <w:rPr>
          <w:rFonts w:hint="eastAsia"/>
        </w:rPr>
        <w:t>光伏建筑一体化是实现建筑环保的</w:t>
      </w:r>
      <w:r w:rsidR="009C4EB4">
        <w:rPr>
          <w:rFonts w:hint="eastAsia"/>
        </w:rPr>
        <w:t>有效途径，通过股市</w:t>
      </w:r>
      <w:r w:rsidR="00CC5604">
        <w:rPr>
          <w:rFonts w:hint="eastAsia"/>
        </w:rPr>
        <w:t>走势</w:t>
      </w:r>
      <w:r w:rsidR="009C4EB4">
        <w:rPr>
          <w:rFonts w:hint="eastAsia"/>
        </w:rPr>
        <w:t>可以对</w:t>
      </w:r>
      <w:r w:rsidR="00B2622F">
        <w:rPr>
          <w:rFonts w:hint="eastAsia"/>
        </w:rPr>
        <w:t>该</w:t>
      </w:r>
      <w:r w:rsidR="009C4EB4">
        <w:rPr>
          <w:rFonts w:hint="eastAsia"/>
        </w:rPr>
        <w:t>板块指数发展做出分析及预测，</w:t>
      </w:r>
      <w:r w:rsidR="00173EAB">
        <w:rPr>
          <w:rFonts w:hint="eastAsia"/>
        </w:rPr>
        <w:t>根据附件给出的沪深股市3</w:t>
      </w:r>
      <w:r w:rsidR="00173EAB">
        <w:t>7</w:t>
      </w:r>
      <w:r w:rsidR="00173EAB">
        <w:rPr>
          <w:rFonts w:hint="eastAsia"/>
        </w:rPr>
        <w:t>家光伏建筑一体化相关企业股票数据，对其发展趋势作出分析：</w:t>
      </w:r>
    </w:p>
    <w:p w14:paraId="2EE7466B" w14:textId="4FE6C90D" w:rsidR="00B6184A" w:rsidRDefault="00B6184A" w:rsidP="007849B8">
      <w:r>
        <w:rPr>
          <w:rFonts w:hint="eastAsia"/>
        </w:rPr>
        <w:t>（1）、</w:t>
      </w:r>
      <w:r w:rsidR="00AF59BD">
        <w:rPr>
          <w:rFonts w:hint="eastAsia"/>
        </w:rPr>
        <w:t>绘制2</w:t>
      </w:r>
      <w:r w:rsidR="00AF59BD">
        <w:t>019</w:t>
      </w:r>
      <w:r w:rsidR="00AF59BD">
        <w:rPr>
          <w:rFonts w:hint="eastAsia"/>
        </w:rPr>
        <w:t>年4月1日至2</w:t>
      </w:r>
      <w:r w:rsidR="00AF59BD">
        <w:t>021</w:t>
      </w:r>
      <w:r w:rsidR="00AF59BD">
        <w:rPr>
          <w:rFonts w:hint="eastAsia"/>
        </w:rPr>
        <w:t>年4月3</w:t>
      </w:r>
      <w:r w:rsidR="00AF59BD">
        <w:t>0</w:t>
      </w:r>
      <w:r w:rsidR="00AF59BD">
        <w:rPr>
          <w:rFonts w:hint="eastAsia"/>
        </w:rPr>
        <w:t>日该板块指数的移动平均线。</w:t>
      </w:r>
    </w:p>
    <w:p w14:paraId="23DA30A7" w14:textId="1DE360B3" w:rsidR="00AF59BD" w:rsidRDefault="00AF59BD" w:rsidP="007849B8">
      <w:r>
        <w:rPr>
          <w:rFonts w:hint="eastAsia"/>
        </w:rPr>
        <w:t>（2）</w:t>
      </w:r>
      <w:r w:rsidR="00C12DAD">
        <w:rPr>
          <w:rFonts w:hint="eastAsia"/>
        </w:rPr>
        <w:t>、</w:t>
      </w:r>
      <w:r w:rsidR="00C33438">
        <w:rPr>
          <w:rFonts w:hint="eastAsia"/>
        </w:rPr>
        <w:t>利用2</w:t>
      </w:r>
      <w:r w:rsidR="00C33438">
        <w:t>021</w:t>
      </w:r>
      <w:r w:rsidR="00C33438">
        <w:rPr>
          <w:rFonts w:hint="eastAsia"/>
        </w:rPr>
        <w:t>年5月6日至5月2</w:t>
      </w:r>
      <w:r w:rsidR="00C33438">
        <w:t>8</w:t>
      </w:r>
      <w:r w:rsidR="00C33438">
        <w:rPr>
          <w:rFonts w:hint="eastAsia"/>
        </w:rPr>
        <w:t>日数据进行误差分析并修正模型，</w:t>
      </w:r>
      <w:r w:rsidR="009C7CC2">
        <w:rPr>
          <w:rFonts w:hint="eastAsia"/>
        </w:rPr>
        <w:t>对本版块未来发展趋势做出预测，给出移动平均线。</w:t>
      </w:r>
    </w:p>
    <w:p w14:paraId="3701775D" w14:textId="0F33A446" w:rsidR="006151EC" w:rsidRDefault="006151EC" w:rsidP="007849B8">
      <w:r>
        <w:rPr>
          <w:rFonts w:hint="eastAsia"/>
        </w:rPr>
        <w:t>（</w:t>
      </w:r>
      <w:r>
        <w:t>3</w:t>
      </w:r>
      <w:r>
        <w:rPr>
          <w:rFonts w:hint="eastAsia"/>
        </w:rPr>
        <w:t>）、</w:t>
      </w:r>
      <w:r w:rsidR="002A0BB6">
        <w:rPr>
          <w:rFonts w:hint="eastAsia"/>
        </w:rPr>
        <w:t>利用2</w:t>
      </w:r>
      <w:r w:rsidR="002A0BB6">
        <w:t>019</w:t>
      </w:r>
      <w:r w:rsidR="002A0BB6">
        <w:rPr>
          <w:rFonts w:hint="eastAsia"/>
        </w:rPr>
        <w:t>年4月1日至2</w:t>
      </w:r>
      <w:r w:rsidR="002A0BB6">
        <w:t>021</w:t>
      </w:r>
      <w:r w:rsidR="002A0BB6">
        <w:rPr>
          <w:rFonts w:hint="eastAsia"/>
        </w:rPr>
        <w:t>年4月3</w:t>
      </w:r>
      <w:r w:rsidR="002A0BB6">
        <w:t>0</w:t>
      </w:r>
      <w:r w:rsidR="002A0BB6">
        <w:rPr>
          <w:rFonts w:hint="eastAsia"/>
        </w:rPr>
        <w:t>日数据对上证指数和光伏建筑一体化板块指数进行相关性分析</w:t>
      </w:r>
      <w:r w:rsidR="002A3E19">
        <w:rPr>
          <w:rFonts w:hint="eastAsia"/>
        </w:rPr>
        <w:t>。</w:t>
      </w:r>
    </w:p>
    <w:p w14:paraId="506D589C" w14:textId="11567F5A" w:rsidR="002A0BB6" w:rsidRDefault="002A0BB6" w:rsidP="007849B8">
      <w:r>
        <w:rPr>
          <w:rFonts w:hint="eastAsia"/>
        </w:rPr>
        <w:t>（4）、</w:t>
      </w:r>
      <w:r w:rsidR="009A1F51">
        <w:rPr>
          <w:rFonts w:hint="eastAsia"/>
        </w:rPr>
        <w:t>给出2</w:t>
      </w:r>
      <w:r w:rsidR="009A1F51">
        <w:t>021</w:t>
      </w:r>
      <w:r w:rsidR="009A1F51">
        <w:rPr>
          <w:rFonts w:hint="eastAsia"/>
        </w:rPr>
        <w:t>年6月份</w:t>
      </w:r>
      <w:r w:rsidR="00725D90">
        <w:rPr>
          <w:rFonts w:hint="eastAsia"/>
        </w:rPr>
        <w:t>该板块</w:t>
      </w:r>
      <w:r w:rsidR="009A1F51">
        <w:rPr>
          <w:rFonts w:hint="eastAsia"/>
        </w:rPr>
        <w:t>最优投资方案</w:t>
      </w:r>
      <w:r w:rsidR="002A3E19">
        <w:rPr>
          <w:rFonts w:hint="eastAsia"/>
        </w:rPr>
        <w:t>。</w:t>
      </w:r>
    </w:p>
    <w:p w14:paraId="3E606335" w14:textId="773ADED3" w:rsidR="000B0F58" w:rsidRDefault="000B0F58" w:rsidP="007849B8"/>
    <w:p w14:paraId="288329A4" w14:textId="4AE12E4D" w:rsidR="002418A4" w:rsidRDefault="002418A4" w:rsidP="007849B8"/>
    <w:p w14:paraId="3BBA22E1" w14:textId="6ED8E295" w:rsidR="002418A4" w:rsidRDefault="002418A4" w:rsidP="007849B8"/>
    <w:p w14:paraId="11796DF6" w14:textId="7A7C2558" w:rsidR="002418A4" w:rsidRDefault="002418A4" w:rsidP="007849B8"/>
    <w:p w14:paraId="07B19CE7" w14:textId="43DD0E2E" w:rsidR="002418A4" w:rsidRDefault="002418A4" w:rsidP="007849B8"/>
    <w:p w14:paraId="1275C066" w14:textId="4A62B9AF" w:rsidR="002418A4" w:rsidRDefault="002418A4" w:rsidP="007849B8"/>
    <w:p w14:paraId="487A43FE" w14:textId="158F43D0" w:rsidR="002418A4" w:rsidRDefault="002418A4" w:rsidP="007849B8"/>
    <w:p w14:paraId="3429428D" w14:textId="77777777" w:rsidR="002418A4" w:rsidRPr="003B4EC1" w:rsidRDefault="002418A4" w:rsidP="007849B8"/>
    <w:p w14:paraId="4F72045D" w14:textId="35D29E73" w:rsidR="007849B8" w:rsidRDefault="007849B8" w:rsidP="007849B8">
      <w:r>
        <w:rPr>
          <w:rFonts w:hint="eastAsia"/>
        </w:rPr>
        <w:lastRenderedPageBreak/>
        <w:t>二、问题分析</w:t>
      </w:r>
    </w:p>
    <w:p w14:paraId="5E29C4D6" w14:textId="480F607C" w:rsidR="003027BC" w:rsidRDefault="003027BC" w:rsidP="007849B8">
      <w:r>
        <w:rPr>
          <w:rFonts w:hint="eastAsia"/>
        </w:rPr>
        <w:t>本文</w:t>
      </w:r>
      <w:r w:rsidR="00CD4546">
        <w:rPr>
          <w:rFonts w:hint="eastAsia"/>
        </w:rPr>
        <w:t>要解决的是通过板块指数做出发展趋势的分析及预测</w:t>
      </w:r>
      <w:r w:rsidR="006931FB">
        <w:rPr>
          <w:rFonts w:hint="eastAsia"/>
        </w:rPr>
        <w:t>问题，</w:t>
      </w:r>
      <w:r w:rsidR="005B4265">
        <w:rPr>
          <w:rFonts w:hint="eastAsia"/>
        </w:rPr>
        <w:t>问题一</w:t>
      </w:r>
      <w:r w:rsidR="00FF4F7C">
        <w:rPr>
          <w:rFonts w:hint="eastAsia"/>
        </w:rPr>
        <w:t>、二</w:t>
      </w:r>
      <w:r w:rsidR="005B4265">
        <w:rPr>
          <w:rFonts w:hint="eastAsia"/>
        </w:rPr>
        <w:t>要求对股票原始数据进行处理并给出移动平均线</w:t>
      </w:r>
      <w:r w:rsidR="00FF4F7C">
        <w:rPr>
          <w:rFonts w:hint="eastAsia"/>
        </w:rPr>
        <w:t>，预测发展趋势</w:t>
      </w:r>
      <w:r w:rsidR="005B4265">
        <w:rPr>
          <w:rFonts w:hint="eastAsia"/>
        </w:rPr>
        <w:t>，</w:t>
      </w:r>
      <w:r w:rsidR="00FF4F7C">
        <w:rPr>
          <w:rFonts w:hint="eastAsia"/>
        </w:rPr>
        <w:t>问题</w:t>
      </w:r>
      <w:r w:rsidR="00D47009">
        <w:rPr>
          <w:rFonts w:hint="eastAsia"/>
        </w:rPr>
        <w:t>三需进行上证指数与光伏建筑一体化板块指数的相关性，问题四、五基于上述模型及分析</w:t>
      </w:r>
      <w:r w:rsidR="00F47DFD">
        <w:rPr>
          <w:rFonts w:hint="eastAsia"/>
        </w:rPr>
        <w:t>，给出投资方案与行业发展报告。</w:t>
      </w:r>
    </w:p>
    <w:p w14:paraId="10F55A34" w14:textId="77777777" w:rsidR="008D4E44" w:rsidRDefault="008D4E44" w:rsidP="007849B8"/>
    <w:p w14:paraId="30038899" w14:textId="58E5859D" w:rsidR="00177462" w:rsidRDefault="00177462" w:rsidP="007849B8">
      <w:r>
        <w:rPr>
          <w:rFonts w:hint="eastAsia"/>
        </w:rPr>
        <w:t>2</w:t>
      </w:r>
      <w:r>
        <w:t>.1</w:t>
      </w:r>
      <w:r>
        <w:rPr>
          <w:rFonts w:hint="eastAsia"/>
        </w:rPr>
        <w:t>问题一的分析</w:t>
      </w:r>
    </w:p>
    <w:p w14:paraId="7843CD12" w14:textId="5D1E0AD9" w:rsidR="00177462" w:rsidRDefault="00A06301" w:rsidP="007849B8">
      <w:r>
        <w:rPr>
          <w:rFonts w:hint="eastAsia"/>
        </w:rPr>
        <w:t>针对</w:t>
      </w:r>
      <w:r w:rsidR="00177462">
        <w:rPr>
          <w:rFonts w:hint="eastAsia"/>
        </w:rPr>
        <w:t>问题一</w:t>
      </w:r>
      <w:r w:rsidR="00925E8F">
        <w:rPr>
          <w:rFonts w:hint="eastAsia"/>
        </w:rPr>
        <w:t>，</w:t>
      </w:r>
      <w:r w:rsidR="00177462">
        <w:rPr>
          <w:rFonts w:hint="eastAsia"/>
        </w:rPr>
        <w:t>要求</w:t>
      </w:r>
      <w:r w:rsidR="00B323DB">
        <w:rPr>
          <w:rFonts w:hint="eastAsia"/>
        </w:rPr>
        <w:t>给出板块光伏</w:t>
      </w:r>
      <w:r w:rsidR="00C76FE6">
        <w:rPr>
          <w:rFonts w:hint="eastAsia"/>
        </w:rPr>
        <w:t>建筑</w:t>
      </w:r>
      <w:r w:rsidR="00B323DB">
        <w:rPr>
          <w:rFonts w:hint="eastAsia"/>
        </w:rPr>
        <w:t>一体化</w:t>
      </w:r>
      <w:r w:rsidR="00321ACE">
        <w:rPr>
          <w:rFonts w:hint="eastAsia"/>
        </w:rPr>
        <w:t>板块</w:t>
      </w:r>
      <w:r w:rsidR="00B323DB">
        <w:rPr>
          <w:rFonts w:hint="eastAsia"/>
        </w:rPr>
        <w:t>指数的移动平均线</w:t>
      </w:r>
      <w:r w:rsidR="00ED03AB">
        <w:rPr>
          <w:rFonts w:hint="eastAsia"/>
        </w:rPr>
        <w:t>，</w:t>
      </w:r>
      <w:r w:rsidR="000757C8">
        <w:rPr>
          <w:rFonts w:hint="eastAsia"/>
        </w:rPr>
        <w:t>分为</w:t>
      </w:r>
      <w:r w:rsidR="00A268A7">
        <w:rPr>
          <w:rFonts w:hint="eastAsia"/>
        </w:rPr>
        <w:t>板块指数计算</w:t>
      </w:r>
      <w:r w:rsidR="00A15EF2">
        <w:rPr>
          <w:rFonts w:hint="eastAsia"/>
        </w:rPr>
        <w:t>、</w:t>
      </w:r>
      <w:r w:rsidR="00AC05F2">
        <w:rPr>
          <w:rFonts w:hint="eastAsia"/>
        </w:rPr>
        <w:t>移动平均线计算</w:t>
      </w:r>
      <w:r w:rsidR="00A15EF2">
        <w:rPr>
          <w:rFonts w:hint="eastAsia"/>
        </w:rPr>
        <w:t>、</w:t>
      </w:r>
      <w:r w:rsidR="00AC05F2">
        <w:rPr>
          <w:rFonts w:hint="eastAsia"/>
        </w:rPr>
        <w:t>可视化图表的绘制三步</w:t>
      </w:r>
      <w:r w:rsidR="00FB2C65">
        <w:rPr>
          <w:rFonts w:hint="eastAsia"/>
        </w:rPr>
        <w:t>。</w:t>
      </w:r>
    </w:p>
    <w:p w14:paraId="4BA5A8C9" w14:textId="0B4B5317" w:rsidR="00A15EF2" w:rsidRDefault="00A15EF2" w:rsidP="007849B8">
      <w:r>
        <w:rPr>
          <w:rFonts w:hint="eastAsia"/>
        </w:rPr>
        <w:t>根据</w:t>
      </w:r>
      <w:r w:rsidR="00A268A7">
        <w:rPr>
          <w:rFonts w:hint="eastAsia"/>
        </w:rPr>
        <w:t>附件中给出的3</w:t>
      </w:r>
      <w:r w:rsidR="00A268A7">
        <w:t>7</w:t>
      </w:r>
      <w:r w:rsidR="00A268A7">
        <w:rPr>
          <w:rFonts w:hint="eastAsia"/>
        </w:rPr>
        <w:t>家</w:t>
      </w:r>
      <w:r w:rsidR="002830E6">
        <w:rPr>
          <w:rFonts w:hint="eastAsia"/>
        </w:rPr>
        <w:t>企业的数据</w:t>
      </w:r>
      <w:r w:rsidR="00D96CC0">
        <w:rPr>
          <w:rFonts w:hint="eastAsia"/>
        </w:rPr>
        <w:t>，从</w:t>
      </w:r>
      <w:r w:rsidR="004479D9">
        <w:rPr>
          <w:rFonts w:hint="eastAsia"/>
        </w:rPr>
        <w:t>已定</w:t>
      </w:r>
      <w:r w:rsidR="00D96CC0">
        <w:rPr>
          <w:rFonts w:hint="eastAsia"/>
        </w:rPr>
        <w:t>基期出发，</w:t>
      </w:r>
      <w:r w:rsidR="00A268A7">
        <w:rPr>
          <w:rFonts w:hint="eastAsia"/>
        </w:rPr>
        <w:t>计算出题目中所需的各个日期板块指数。</w:t>
      </w:r>
      <w:r w:rsidR="00B72281">
        <w:rPr>
          <w:rFonts w:hint="eastAsia"/>
        </w:rPr>
        <w:t>考虑到</w:t>
      </w:r>
      <w:r w:rsidR="007A5368">
        <w:rPr>
          <w:rFonts w:hint="eastAsia"/>
        </w:rPr>
        <w:t>上市、停市对股市的影响</w:t>
      </w:r>
      <w:r w:rsidR="007E27A8">
        <w:rPr>
          <w:rFonts w:hint="eastAsia"/>
        </w:rPr>
        <w:t>，计算过程中同时对板块指数进行</w:t>
      </w:r>
      <w:r w:rsidR="00B25FCC">
        <w:rPr>
          <w:rFonts w:hint="eastAsia"/>
        </w:rPr>
        <w:t>相应的</w:t>
      </w:r>
      <w:r w:rsidR="007E27A8">
        <w:rPr>
          <w:rFonts w:hint="eastAsia"/>
        </w:rPr>
        <w:t>修正。</w:t>
      </w:r>
    </w:p>
    <w:p w14:paraId="63BF5D17" w14:textId="695D6C43" w:rsidR="00021F3C" w:rsidRDefault="00021F3C" w:rsidP="007849B8">
      <w:r>
        <w:rPr>
          <w:rFonts w:hint="eastAsia"/>
        </w:rPr>
        <w:t>在得到板块指数的基础上，</w:t>
      </w:r>
      <w:r w:rsidR="008061BF">
        <w:rPr>
          <w:rFonts w:hint="eastAsia"/>
        </w:rPr>
        <w:t>根据数据特征，采用更能反应股市变动的指数移动平均线，</w:t>
      </w:r>
      <w:r w:rsidR="000F09A8">
        <w:rPr>
          <w:rFonts w:hint="eastAsia"/>
        </w:rPr>
        <w:t>考虑近期交易日报价对当日移动平均的影响，</w:t>
      </w:r>
      <w:r w:rsidR="008B06A6">
        <w:rPr>
          <w:rFonts w:hint="eastAsia"/>
        </w:rPr>
        <w:t>并引入平滑系数，对每日指数移动均价进行计算。最后，</w:t>
      </w:r>
      <w:r w:rsidR="00693613">
        <w:rPr>
          <w:rFonts w:hint="eastAsia"/>
        </w:rPr>
        <w:t>分别</w:t>
      </w:r>
      <w:r w:rsidR="008061BF">
        <w:rPr>
          <w:rFonts w:hint="eastAsia"/>
        </w:rPr>
        <w:t>绘制5日、1</w:t>
      </w:r>
      <w:r w:rsidR="008061BF">
        <w:t>0</w:t>
      </w:r>
      <w:r w:rsidR="008061BF">
        <w:rPr>
          <w:rFonts w:hint="eastAsia"/>
        </w:rPr>
        <w:t>日、1</w:t>
      </w:r>
      <w:r w:rsidR="008061BF">
        <w:t>5</w:t>
      </w:r>
      <w:r w:rsidR="008061BF">
        <w:rPr>
          <w:rFonts w:hint="eastAsia"/>
        </w:rPr>
        <w:t>日三个周期的指数移动平均线图。</w:t>
      </w:r>
    </w:p>
    <w:p w14:paraId="400F3229" w14:textId="77777777" w:rsidR="00234E04" w:rsidRPr="00021F3C" w:rsidRDefault="00234E04" w:rsidP="007849B8"/>
    <w:p w14:paraId="0A32D7BA" w14:textId="22043759" w:rsidR="00BF4F3D" w:rsidRDefault="00BF4F3D" w:rsidP="007849B8">
      <w:r>
        <w:rPr>
          <w:rFonts w:hint="eastAsia"/>
        </w:rPr>
        <w:t>问题二</w:t>
      </w:r>
    </w:p>
    <w:p w14:paraId="16CC0CC1" w14:textId="732CCC54" w:rsidR="00234E04" w:rsidRDefault="00234E04" w:rsidP="007849B8">
      <w:r>
        <w:rPr>
          <w:rFonts w:hint="eastAsia"/>
        </w:rPr>
        <w:t>针对问题二，</w:t>
      </w:r>
      <w:r w:rsidR="003A1BB1">
        <w:rPr>
          <w:rFonts w:hint="eastAsia"/>
        </w:rPr>
        <w:t>在问题一得出的</w:t>
      </w:r>
      <w:r w:rsidR="00321ACE">
        <w:rPr>
          <w:rFonts w:hint="eastAsia"/>
        </w:rPr>
        <w:t>光伏建筑一体化板块指数移动平均线的基础上，我们要将这些离散的点拟合为连续的曲线，并依据2021年5月6日到2021年5月28日的板块指数移动平均线对拟合模型做出误差分析和调整。</w:t>
      </w:r>
      <w:r w:rsidR="001D259D">
        <w:rPr>
          <w:rFonts w:hint="eastAsia"/>
        </w:rPr>
        <w:t>依据调整后的模型对日移动平均线、周移动平均线和月移动平均线做出预测。</w:t>
      </w:r>
    </w:p>
    <w:p w14:paraId="38DB9AC6" w14:textId="5534E796" w:rsidR="00321ACE" w:rsidRDefault="001D259D" w:rsidP="007849B8">
      <w:r w:rsidRPr="000157B6">
        <w:rPr>
          <w:rFonts w:hint="eastAsia"/>
          <w:highlight w:val="yellow"/>
        </w:rPr>
        <w:t>考虑到每日的板块指数移动平均线并非相互独立的数据，</w:t>
      </w:r>
      <w:r w:rsidR="000157B6" w:rsidRPr="000157B6">
        <w:rPr>
          <w:rFonts w:hint="eastAsia"/>
          <w:highlight w:val="yellow"/>
        </w:rPr>
        <w:t>我们对股票指数的预测是以以往历史信息为依据的，因此，</w:t>
      </w:r>
      <w:r w:rsidR="005E147B">
        <w:rPr>
          <w:rFonts w:hint="eastAsia"/>
          <w:highlight w:val="yellow"/>
        </w:rPr>
        <w:t>我们可以将历史信息与当前信息分别赋予一定的权值，以此为依据进行预测。基于这种思想，</w:t>
      </w:r>
      <w:r w:rsidR="000157B6" w:rsidRPr="000157B6">
        <w:rPr>
          <w:rFonts w:hint="eastAsia"/>
          <w:highlight w:val="yellow"/>
        </w:rPr>
        <w:t>我们采用能够记忆历史信息的循环神经网络模型对股票指数进行拟合并做出预测。</w:t>
      </w:r>
    </w:p>
    <w:p w14:paraId="167366A7" w14:textId="0AEDCDB0" w:rsidR="000157B6" w:rsidRDefault="00BE4CF9" w:rsidP="007849B8">
      <w:r>
        <w:rPr>
          <w:rFonts w:hint="eastAsia"/>
        </w:rPr>
        <w:t>股票的板块指数移动平均线</w:t>
      </w:r>
      <w:r w:rsidR="005E147B">
        <w:rPr>
          <w:rFonts w:hint="eastAsia"/>
        </w:rPr>
        <w:t>属于</w:t>
      </w:r>
      <w:r>
        <w:rPr>
          <w:rFonts w:hint="eastAsia"/>
        </w:rPr>
        <w:t>典型的时间序列，</w:t>
      </w:r>
      <w:r w:rsidR="004A1175">
        <w:rPr>
          <w:rFonts w:hint="eastAsia"/>
        </w:rPr>
        <w:t>同时考虑到股票指数走势具有一定的随机性，为达到更好地拟合效果，我们采用ARIMA模型对板块指数移动平均线再次进行拟合，将循环神经网络模型与ARIMA模型的预测值取平均。</w:t>
      </w:r>
    </w:p>
    <w:p w14:paraId="5FF89002" w14:textId="5DB989F8" w:rsidR="004A1175" w:rsidRDefault="004A1175" w:rsidP="007849B8"/>
    <w:p w14:paraId="31EEE8DA" w14:textId="23265BB6" w:rsidR="004A1175" w:rsidRDefault="004A1175" w:rsidP="007849B8">
      <w:r>
        <w:rPr>
          <w:rFonts w:hint="eastAsia"/>
        </w:rPr>
        <w:t>问题三</w:t>
      </w:r>
    </w:p>
    <w:p w14:paraId="11991C87" w14:textId="736A3F03" w:rsidR="004A1175" w:rsidRPr="004A1175" w:rsidRDefault="00212F80" w:rsidP="007849B8">
      <w:r>
        <w:rPr>
          <w:rFonts w:hint="eastAsia"/>
        </w:rPr>
        <w:t>针对问题三，</w:t>
      </w:r>
    </w:p>
    <w:p w14:paraId="3690AF6A" w14:textId="77777777" w:rsidR="007849B8" w:rsidRPr="000157B6" w:rsidRDefault="007849B8" w:rsidP="007849B8"/>
    <w:p w14:paraId="4EAB6B34" w14:textId="2F92389C" w:rsidR="007849B8" w:rsidRDefault="007849B8" w:rsidP="007849B8">
      <w:r>
        <w:rPr>
          <w:rFonts w:hint="eastAsia"/>
        </w:rPr>
        <w:t>三、模型假设</w:t>
      </w:r>
    </w:p>
    <w:p w14:paraId="17928999" w14:textId="77777777" w:rsidR="008D4E44" w:rsidRDefault="008D4E44" w:rsidP="007849B8"/>
    <w:p w14:paraId="07D853C8" w14:textId="2DEAF9B5" w:rsidR="00967A00" w:rsidRDefault="00967A00" w:rsidP="00967A00">
      <w:r>
        <w:t>1.</w:t>
      </w:r>
      <w:r w:rsidR="00062675">
        <w:rPr>
          <w:rFonts w:hint="eastAsia"/>
        </w:rPr>
        <w:t>股市分析</w:t>
      </w:r>
      <w:r>
        <w:t>以2019年1月2日</w:t>
      </w:r>
      <w:r w:rsidR="00062675">
        <w:rPr>
          <w:rFonts w:hint="eastAsia"/>
        </w:rPr>
        <w:t>基期</w:t>
      </w:r>
    </w:p>
    <w:p w14:paraId="1AE42965" w14:textId="77777777" w:rsidR="00967A00" w:rsidRDefault="00967A00" w:rsidP="00967A00">
      <w:r>
        <w:t>2.调整只有新增股票进行，而且是在新增股票上市后的半个月之后才进行</w:t>
      </w:r>
    </w:p>
    <w:p w14:paraId="75E2E52B" w14:textId="696A7E2E" w:rsidR="00967A00" w:rsidRDefault="00153353" w:rsidP="007849B8">
      <w:r>
        <w:rPr>
          <w:rFonts w:hint="eastAsia"/>
        </w:rPr>
        <w:t>3、股票买进，抛出不考虑手续费的影响</w:t>
      </w:r>
    </w:p>
    <w:p w14:paraId="35779470" w14:textId="77777777" w:rsidR="00153353" w:rsidRPr="00967A00" w:rsidRDefault="00153353" w:rsidP="007849B8"/>
    <w:p w14:paraId="67574B14" w14:textId="6BB56CA6" w:rsidR="007849B8" w:rsidRDefault="007849B8" w:rsidP="007849B8">
      <w:r>
        <w:t>四、符号说明</w:t>
      </w:r>
    </w:p>
    <w:p w14:paraId="2A1613BE" w14:textId="77777777" w:rsidR="008D4E44" w:rsidRDefault="008D4E44" w:rsidP="007849B8"/>
    <w:p w14:paraId="0DE42BE4" w14:textId="6B050422" w:rsidR="00D44938" w:rsidRDefault="00D44938" w:rsidP="007849B8">
      <w:r>
        <w:rPr>
          <w:rFonts w:hint="eastAsia"/>
        </w:rPr>
        <w:t xml:space="preserve">当日收盘价 </w:t>
      </w:r>
      <w:r>
        <w:t xml:space="preserve">  </w:t>
      </w:r>
      <w:r w:rsidR="008A589A">
        <w:t>P</w:t>
      </w:r>
      <w:r w:rsidR="008A589A">
        <w:rPr>
          <w:rFonts w:hint="eastAsia"/>
          <w:vertAlign w:val="subscript"/>
        </w:rPr>
        <w:t>cl</w:t>
      </w:r>
      <w:r>
        <w:t>(</w:t>
      </w:r>
      <w:r w:rsidR="00B171B5">
        <w:rPr>
          <w:rFonts w:hint="eastAsia"/>
        </w:rPr>
        <w:t>t</w:t>
      </w:r>
      <w:r>
        <w:t>)</w:t>
      </w:r>
    </w:p>
    <w:p w14:paraId="02811810" w14:textId="099618B1" w:rsidR="00FD75B0" w:rsidRDefault="00FD75B0" w:rsidP="007849B8">
      <w:r>
        <w:rPr>
          <w:rFonts w:hint="eastAsia"/>
        </w:rPr>
        <w:t>板块指数</w:t>
      </w:r>
      <w:r w:rsidR="00C13A77">
        <w:rPr>
          <w:rFonts w:hint="eastAsia"/>
        </w:rPr>
        <w:t xml:space="preserve"> </w:t>
      </w:r>
      <w:r w:rsidR="00C13A77">
        <w:t xml:space="preserve">       B(t)</w:t>
      </w:r>
    </w:p>
    <w:p w14:paraId="3D6E43F2" w14:textId="6A4676E4" w:rsidR="00AB1D98" w:rsidRDefault="00AB1D98" w:rsidP="00AB1D98">
      <w:r>
        <w:rPr>
          <w:rFonts w:hint="eastAsia"/>
        </w:rPr>
        <w:t xml:space="preserve">报告期股票市价总值 </w:t>
      </w:r>
      <w:r w:rsidR="00C13A77">
        <w:t xml:space="preserve">  </w:t>
      </w:r>
      <w:r w:rsidR="004F49CE">
        <w:t>K</w:t>
      </w:r>
      <w:r w:rsidR="009D374D">
        <w:rPr>
          <w:rFonts w:hint="eastAsia"/>
        </w:rPr>
        <w:t>(</w:t>
      </w:r>
      <w:r w:rsidR="009D374D">
        <w:t>t)</w:t>
      </w:r>
    </w:p>
    <w:p w14:paraId="7F086BA8" w14:textId="4C9366B3" w:rsidR="00AB1D98" w:rsidRDefault="00AB1D98" w:rsidP="00AB1D98">
      <w:r>
        <w:rPr>
          <w:rFonts w:hint="eastAsia"/>
        </w:rPr>
        <w:t>基期股票市价总值</w:t>
      </w:r>
      <w:r w:rsidR="00C13A77">
        <w:rPr>
          <w:rFonts w:hint="eastAsia"/>
        </w:rPr>
        <w:t xml:space="preserve"> </w:t>
      </w:r>
      <w:r w:rsidR="00C13A77">
        <w:t xml:space="preserve">    </w:t>
      </w:r>
      <w:r w:rsidR="00D31A1E">
        <w:t>G(t)</w:t>
      </w:r>
    </w:p>
    <w:p w14:paraId="4DD7C49C" w14:textId="2C8BAD84" w:rsidR="00E645BB" w:rsidRDefault="00E645BB" w:rsidP="00AB1D98">
      <w:r>
        <w:rPr>
          <w:rFonts w:hint="eastAsia"/>
        </w:rPr>
        <w:t xml:space="preserve">当日指数移动均价 </w:t>
      </w:r>
      <w:r>
        <w:t xml:space="preserve">  </w:t>
      </w:r>
      <w:r w:rsidR="00F97632">
        <w:rPr>
          <w:rFonts w:hint="eastAsia"/>
        </w:rPr>
        <w:t>b</w:t>
      </w:r>
      <w:r w:rsidR="00B47B4C">
        <w:rPr>
          <w:vertAlign w:val="subscript"/>
        </w:rPr>
        <w:t>avg</w:t>
      </w:r>
      <w:r w:rsidR="00B47B4C">
        <w:rPr>
          <w:rFonts w:hint="eastAsia"/>
        </w:rPr>
        <w:t>(</w:t>
      </w:r>
      <w:r w:rsidR="00B47B4C">
        <w:t>t)</w:t>
      </w:r>
    </w:p>
    <w:p w14:paraId="058C7DB8" w14:textId="295ECBEA" w:rsidR="00933168" w:rsidRDefault="00933168" w:rsidP="00AB1D98">
      <w:pPr>
        <w:rPr>
          <w:rFonts w:eastAsiaTheme="minorHAnsi"/>
        </w:rPr>
      </w:pPr>
      <w:r>
        <w:rPr>
          <w:rFonts w:hint="eastAsia"/>
        </w:rPr>
        <w:t>E</w:t>
      </w:r>
      <w:r>
        <w:t>MA</w:t>
      </w:r>
      <w:r>
        <w:rPr>
          <w:rFonts w:hint="eastAsia"/>
        </w:rPr>
        <w:t xml:space="preserve">平滑系数 </w:t>
      </w:r>
      <w:r>
        <w:t xml:space="preserve">    </w:t>
      </w:r>
      <w:r w:rsidR="00B92CC8">
        <w:rPr>
          <w:rFonts w:eastAsiaTheme="minorHAnsi"/>
        </w:rPr>
        <w:t>ξ</w:t>
      </w:r>
    </w:p>
    <w:p w14:paraId="34C18608" w14:textId="502D1BC1" w:rsidR="00DC2EA5" w:rsidRDefault="00DC2EA5" w:rsidP="00AB1D98">
      <w:r>
        <w:rPr>
          <w:rFonts w:eastAsiaTheme="minorHAnsi" w:hint="eastAsia"/>
        </w:rPr>
        <w:lastRenderedPageBreak/>
        <w:t>E</w:t>
      </w:r>
      <w:r>
        <w:rPr>
          <w:rFonts w:eastAsiaTheme="minorHAnsi"/>
        </w:rPr>
        <w:t>MA</w:t>
      </w:r>
      <w:r>
        <w:rPr>
          <w:rFonts w:eastAsiaTheme="minorHAnsi" w:hint="eastAsia"/>
        </w:rPr>
        <w:t xml:space="preserve">周期 </w:t>
      </w:r>
      <w:r>
        <w:rPr>
          <w:rFonts w:eastAsiaTheme="minorHAnsi"/>
        </w:rPr>
        <w:t xml:space="preserve">       T</w:t>
      </w:r>
    </w:p>
    <w:p w14:paraId="4D0B1696" w14:textId="2A7A7078" w:rsidR="00AB1D98" w:rsidRDefault="00AB1D98" w:rsidP="007849B8"/>
    <w:p w14:paraId="36396BA9" w14:textId="53E3F17C" w:rsidR="002418A4" w:rsidRDefault="002418A4" w:rsidP="007849B8"/>
    <w:p w14:paraId="6AB3F9A3" w14:textId="157CC905" w:rsidR="002418A4" w:rsidRDefault="002418A4" w:rsidP="007849B8"/>
    <w:p w14:paraId="6F388062" w14:textId="77777777" w:rsidR="002418A4" w:rsidRPr="00AB1D98" w:rsidRDefault="002418A4" w:rsidP="007849B8"/>
    <w:p w14:paraId="58996343" w14:textId="561D1906" w:rsidR="007849B8" w:rsidRDefault="007849B8" w:rsidP="007849B8">
      <w:r>
        <w:t>五、模型</w:t>
      </w:r>
      <w:r w:rsidR="004A051C">
        <w:rPr>
          <w:rFonts w:hint="eastAsia"/>
        </w:rPr>
        <w:t>的</w:t>
      </w:r>
      <w:r>
        <w:t>建立</w:t>
      </w:r>
      <w:r w:rsidR="004A051C">
        <w:rPr>
          <w:rFonts w:hint="eastAsia"/>
        </w:rPr>
        <w:t>与求解</w:t>
      </w:r>
    </w:p>
    <w:p w14:paraId="270D76FE" w14:textId="77777777" w:rsidR="004A051C" w:rsidRDefault="004A051C" w:rsidP="007849B8"/>
    <w:p w14:paraId="0F95C0B0" w14:textId="3BE86867" w:rsidR="006B0C15" w:rsidRDefault="006B0C15" w:rsidP="007849B8">
      <w:r>
        <w:rPr>
          <w:rFonts w:hint="eastAsia"/>
        </w:rPr>
        <w:t>5</w:t>
      </w:r>
      <w:r>
        <w:t>.1</w:t>
      </w:r>
      <w:r w:rsidR="00543AF2">
        <w:rPr>
          <w:rFonts w:hint="eastAsia"/>
        </w:rPr>
        <w:t>问题一模型的建立与求解</w:t>
      </w:r>
    </w:p>
    <w:p w14:paraId="2A7B2611" w14:textId="77777777" w:rsidR="004A051C" w:rsidRDefault="004A051C" w:rsidP="007849B8"/>
    <w:p w14:paraId="52F27E78" w14:textId="53AA345D" w:rsidR="006B0C15" w:rsidRDefault="00967A00" w:rsidP="007849B8">
      <w:r>
        <w:t>5.1.1</w:t>
      </w:r>
      <w:r>
        <w:rPr>
          <w:rFonts w:hint="eastAsia"/>
        </w:rPr>
        <w:t>板块指数的计算</w:t>
      </w:r>
    </w:p>
    <w:p w14:paraId="43A7AAB4" w14:textId="01D2AD60" w:rsidR="00967A00" w:rsidRDefault="00967A00" w:rsidP="007849B8">
      <w:r>
        <w:rPr>
          <w:rFonts w:hint="eastAsia"/>
        </w:rPr>
        <w:t>根据板块指数计算公式：</w:t>
      </w:r>
    </w:p>
    <w:p w14:paraId="0A51EC0F" w14:textId="2D8FFADC" w:rsidR="00967A00" w:rsidRDefault="00C857F1" w:rsidP="007849B8">
      <w:r>
        <w:t>B(t)</w:t>
      </w:r>
      <w:r w:rsidR="00967A00" w:rsidRPr="00967A00">
        <w:t>=</w:t>
      </w:r>
      <w:r>
        <w:t>K(t)</w:t>
      </w:r>
      <w:r w:rsidR="00967A00" w:rsidRPr="00967A00">
        <w:t>÷</w:t>
      </w:r>
      <w:r>
        <w:t>G(t)</w:t>
      </w:r>
      <w:r w:rsidR="00967A00" w:rsidRPr="00967A00">
        <w:t>× 100</w:t>
      </w:r>
    </w:p>
    <w:p w14:paraId="07979348" w14:textId="1D6DFF0B" w:rsidR="004C5034" w:rsidRDefault="004C5034" w:rsidP="007849B8">
      <w:r>
        <w:rPr>
          <w:rFonts w:hint="eastAsia"/>
        </w:rPr>
        <w:t>其中</w:t>
      </w:r>
      <w:r w:rsidR="00FC59CC">
        <w:rPr>
          <w:rFonts w:hint="eastAsia"/>
        </w:rPr>
        <w:t>：</w:t>
      </w:r>
    </w:p>
    <w:p w14:paraId="1FDE1713" w14:textId="4F5E6DD3" w:rsidR="00FC59CC" w:rsidRDefault="004F49CE" w:rsidP="007849B8">
      <w:r>
        <w:t>K(</w:t>
      </w:r>
      <w:r>
        <w:rPr>
          <w:rFonts w:hint="eastAsia"/>
        </w:rPr>
        <w:t>t</w:t>
      </w:r>
      <w:r>
        <w:t>)=</w:t>
      </w:r>
      <w:r w:rsidR="00062675" w:rsidRPr="00062675">
        <w:rPr>
          <w:rFonts w:hint="eastAsia"/>
        </w:rPr>
        <w:t xml:space="preserve"> ∑（某支股票市价×总股本）</w:t>
      </w:r>
    </w:p>
    <w:p w14:paraId="5E2C9476" w14:textId="4C8CE5E8" w:rsidR="00A96632" w:rsidRDefault="002E2A3C" w:rsidP="00A96632">
      <w:r>
        <w:t>G</w:t>
      </w:r>
      <w:r w:rsidR="00A96632">
        <w:t>(</w:t>
      </w:r>
      <w:r w:rsidR="00A96632">
        <w:rPr>
          <w:rFonts w:hint="eastAsia"/>
        </w:rPr>
        <w:t>t</w:t>
      </w:r>
      <w:r w:rsidR="00A96632">
        <w:t>)=</w:t>
      </w:r>
      <w:r w:rsidR="00A96632" w:rsidRPr="00062675">
        <w:rPr>
          <w:rFonts w:hint="eastAsia"/>
        </w:rPr>
        <w:t xml:space="preserve"> ∑（</w:t>
      </w:r>
      <w:r w:rsidR="00A96632">
        <w:rPr>
          <w:rFonts w:hint="eastAsia"/>
        </w:rPr>
        <w:t>基期</w:t>
      </w:r>
      <w:r w:rsidR="00A96632" w:rsidRPr="00062675">
        <w:rPr>
          <w:rFonts w:hint="eastAsia"/>
        </w:rPr>
        <w:t>某支股票市价×</w:t>
      </w:r>
      <w:r w:rsidR="00A96632">
        <w:rPr>
          <w:rFonts w:hint="eastAsia"/>
        </w:rPr>
        <w:t>基期</w:t>
      </w:r>
      <w:r w:rsidR="00A96632" w:rsidRPr="00062675">
        <w:rPr>
          <w:rFonts w:hint="eastAsia"/>
        </w:rPr>
        <w:t>总股本）</w:t>
      </w:r>
    </w:p>
    <w:p w14:paraId="74A81DDA" w14:textId="77777777" w:rsidR="00A96632" w:rsidRDefault="00A96632" w:rsidP="007849B8"/>
    <w:p w14:paraId="556F3F55" w14:textId="537E0110" w:rsidR="00BE4236" w:rsidRDefault="00A142B5" w:rsidP="007849B8">
      <w:r>
        <w:rPr>
          <w:rFonts w:hint="eastAsia"/>
        </w:rPr>
        <w:t>我们</w:t>
      </w:r>
      <w:r w:rsidR="00F14CC6">
        <w:rPr>
          <w:rFonts w:hint="eastAsia"/>
        </w:rPr>
        <w:t>以</w:t>
      </w:r>
      <w:r w:rsidR="0013115D">
        <w:rPr>
          <w:rFonts w:hint="eastAsia"/>
        </w:rPr>
        <w:t>1</w:t>
      </w:r>
      <w:r w:rsidR="0013115D">
        <w:t>00</w:t>
      </w:r>
      <w:r w:rsidR="0013115D">
        <w:rPr>
          <w:rFonts w:hint="eastAsia"/>
        </w:rPr>
        <w:t>为基期指数，</w:t>
      </w:r>
      <w:r w:rsidR="00943670">
        <w:rPr>
          <w:rFonts w:hint="eastAsia"/>
        </w:rPr>
        <w:t>基日</w:t>
      </w:r>
      <w:r w:rsidR="002D2742">
        <w:rPr>
          <w:rFonts w:hint="eastAsia"/>
        </w:rPr>
        <w:t>为</w:t>
      </w:r>
      <w:r w:rsidR="00943670">
        <w:rPr>
          <w:rFonts w:hint="eastAsia"/>
        </w:rPr>
        <w:t>2</w:t>
      </w:r>
      <w:r w:rsidR="00943670">
        <w:t>019</w:t>
      </w:r>
      <w:r w:rsidR="00943670">
        <w:rPr>
          <w:rFonts w:hint="eastAsia"/>
        </w:rPr>
        <w:t>年1月2日，</w:t>
      </w:r>
      <w:r w:rsidR="00577AB2">
        <w:rPr>
          <w:rFonts w:hint="eastAsia"/>
        </w:rPr>
        <w:t>根据</w:t>
      </w:r>
      <w:r w:rsidR="00C76FE6">
        <w:rPr>
          <w:rFonts w:hint="eastAsia"/>
        </w:rPr>
        <w:t>附件中给出的3</w:t>
      </w:r>
      <w:r w:rsidR="00C76FE6">
        <w:t>7</w:t>
      </w:r>
      <w:r w:rsidR="00C76FE6">
        <w:rPr>
          <w:rFonts w:hint="eastAsia"/>
        </w:rPr>
        <w:t>家</w:t>
      </w:r>
      <w:r w:rsidR="000F4B45">
        <w:rPr>
          <w:rFonts w:hint="eastAsia"/>
        </w:rPr>
        <w:t>光伏建筑</w:t>
      </w:r>
      <w:r w:rsidR="00577AB2">
        <w:rPr>
          <w:rFonts w:hint="eastAsia"/>
        </w:rPr>
        <w:t>一体化企业</w:t>
      </w:r>
      <w:r w:rsidR="000F4B45">
        <w:rPr>
          <w:rFonts w:hint="eastAsia"/>
        </w:rPr>
        <w:t>，</w:t>
      </w:r>
      <w:r w:rsidR="00DF19D7">
        <w:rPr>
          <w:rFonts w:hint="eastAsia"/>
        </w:rPr>
        <w:t>就可以</w:t>
      </w:r>
      <w:r w:rsidR="00577AB2">
        <w:rPr>
          <w:rFonts w:hint="eastAsia"/>
        </w:rPr>
        <w:t>计算出该板块</w:t>
      </w:r>
      <w:r w:rsidR="00F8337D">
        <w:rPr>
          <w:rFonts w:hint="eastAsia"/>
        </w:rPr>
        <w:t>自2</w:t>
      </w:r>
      <w:r w:rsidR="00F8337D">
        <w:t>020</w:t>
      </w:r>
      <w:r w:rsidR="00F8337D">
        <w:rPr>
          <w:rFonts w:hint="eastAsia"/>
        </w:rPr>
        <w:t>年</w:t>
      </w:r>
      <w:r w:rsidR="00F8337D">
        <w:t>1</w:t>
      </w:r>
      <w:r w:rsidR="00F8337D">
        <w:rPr>
          <w:rFonts w:hint="eastAsia"/>
        </w:rPr>
        <w:t>月</w:t>
      </w:r>
      <w:r w:rsidR="00F8337D">
        <w:t>3</w:t>
      </w:r>
      <w:r w:rsidR="00F8337D">
        <w:rPr>
          <w:rFonts w:hint="eastAsia"/>
        </w:rPr>
        <w:t>日至</w:t>
      </w:r>
      <w:r w:rsidR="00F8337D">
        <w:t>2021</w:t>
      </w:r>
      <w:r w:rsidR="00F8337D">
        <w:rPr>
          <w:rFonts w:hint="eastAsia"/>
        </w:rPr>
        <w:t>年5月</w:t>
      </w:r>
      <w:r w:rsidR="00F8337D">
        <w:t>27</w:t>
      </w:r>
      <w:r w:rsidR="00F8337D">
        <w:rPr>
          <w:rFonts w:hint="eastAsia"/>
        </w:rPr>
        <w:t>日</w:t>
      </w:r>
      <w:r w:rsidR="00577AB2">
        <w:rPr>
          <w:rFonts w:hint="eastAsia"/>
        </w:rPr>
        <w:t>的板块指数，</w:t>
      </w:r>
      <w:r w:rsidR="000F4B45">
        <w:rPr>
          <w:rFonts w:hint="eastAsia"/>
        </w:rPr>
        <w:t>并存于表格中</w:t>
      </w:r>
      <w:r w:rsidR="00033065">
        <w:rPr>
          <w:rFonts w:hint="eastAsia"/>
        </w:rPr>
        <w:t>备用</w:t>
      </w:r>
      <w:r w:rsidR="009311E9">
        <w:rPr>
          <w:rFonts w:hint="eastAsia"/>
        </w:rPr>
        <w:t>。</w:t>
      </w:r>
    </w:p>
    <w:p w14:paraId="58E72ADB" w14:textId="77777777" w:rsidR="004A051C" w:rsidRDefault="004A051C" w:rsidP="007849B8"/>
    <w:p w14:paraId="7B9D6AD4" w14:textId="696E1C30" w:rsidR="00BE4236" w:rsidRDefault="00BE4236" w:rsidP="007849B8">
      <w:r>
        <w:rPr>
          <w:rFonts w:hint="eastAsia"/>
        </w:rPr>
        <w:t>5</w:t>
      </w:r>
      <w:r>
        <w:t xml:space="preserve">.1.2 </w:t>
      </w:r>
      <w:r>
        <w:rPr>
          <w:rFonts w:hint="eastAsia"/>
        </w:rPr>
        <w:t>板块指数的修正</w:t>
      </w:r>
    </w:p>
    <w:p w14:paraId="4E11BAD7" w14:textId="77777777" w:rsidR="00FA1AD0" w:rsidRDefault="004150EC" w:rsidP="007849B8">
      <w:r w:rsidRPr="004150EC">
        <w:rPr>
          <w:rFonts w:hint="eastAsia"/>
        </w:rPr>
        <w:t>为了剔除新股上市等非交易性因素对指数的影响</w:t>
      </w:r>
      <w:r w:rsidRPr="004150EC">
        <w:t>,在计算</w:t>
      </w:r>
      <w:r w:rsidR="00EE09D1">
        <w:rPr>
          <w:rFonts w:hint="eastAsia"/>
        </w:rPr>
        <w:t>板块</w:t>
      </w:r>
      <w:r w:rsidRPr="004150EC">
        <w:t>指数时,基期股票总市值会按照一定规则,不断进行修正。</w:t>
      </w:r>
      <w:r w:rsidR="005F714A">
        <w:rPr>
          <w:rFonts w:hint="eastAsia"/>
        </w:rPr>
        <w:t>根据各大证券交易所的指数修正规则，我们</w:t>
      </w:r>
      <w:r w:rsidRPr="004150EC">
        <w:t>采用“除数修正法”修正。</w:t>
      </w:r>
      <w:r w:rsidR="00CB5AB7">
        <w:rPr>
          <w:rFonts w:hint="eastAsia"/>
        </w:rPr>
        <w:t>即认为</w:t>
      </w:r>
      <w:r>
        <w:t>修正后的基期股票市价总值=（修正前的报告期股票市价总值+新增或者减少的股票市价总值）×修正前的基期股票市价总值÷修正前的报告期股票市价总值。</w:t>
      </w:r>
    </w:p>
    <w:p w14:paraId="4839F1D7" w14:textId="66BF2595" w:rsidR="004150EC" w:rsidRDefault="004150EC" w:rsidP="007849B8">
      <w:r>
        <w:t>以该修正后的基期股票市价总值作为以后指数计算的基期股票市价总值，即新基期。</w:t>
      </w:r>
    </w:p>
    <w:p w14:paraId="56B65750" w14:textId="710B868A" w:rsidR="00352037" w:rsidRDefault="00352037" w:rsidP="007849B8"/>
    <w:p w14:paraId="61A812A5" w14:textId="687BB879" w:rsidR="004F3808" w:rsidRDefault="00C9559E" w:rsidP="007849B8">
      <w:r>
        <w:rPr>
          <w:rFonts w:hint="eastAsia"/>
        </w:rPr>
        <w:t>5</w:t>
      </w:r>
      <w:r>
        <w:t>.1.3</w:t>
      </w:r>
      <w:r w:rsidR="00E42061">
        <w:t xml:space="preserve"> </w:t>
      </w:r>
      <w:r w:rsidR="00F70880">
        <w:rPr>
          <w:rFonts w:hint="eastAsia"/>
        </w:rPr>
        <w:t>指数</w:t>
      </w:r>
      <w:r w:rsidR="00E42061">
        <w:rPr>
          <w:rFonts w:hint="eastAsia"/>
        </w:rPr>
        <w:t>移动平均线</w:t>
      </w:r>
    </w:p>
    <w:p w14:paraId="1BBDB551" w14:textId="23FCB534" w:rsidR="0078083B" w:rsidRDefault="002554E2" w:rsidP="007849B8">
      <w:r>
        <w:rPr>
          <w:rFonts w:hint="eastAsia"/>
        </w:rPr>
        <w:t>移动平均线</w:t>
      </w:r>
      <w:r w:rsidR="00E34C84">
        <w:rPr>
          <w:rFonts w:hint="eastAsia"/>
        </w:rPr>
        <w:t>(</w:t>
      </w:r>
      <w:r w:rsidRPr="002554E2">
        <w:t>MA</w:t>
      </w:r>
      <w:r w:rsidR="00E34C84">
        <w:t>)</w:t>
      </w:r>
      <w:r>
        <w:rPr>
          <w:rFonts w:hint="eastAsia"/>
        </w:rPr>
        <w:t>，</w:t>
      </w:r>
      <w:r w:rsidRPr="002554E2">
        <w:t>是用统计分析的方法，将一定时期内的证券价格（指数）加以平均，并把不同时间的平均值连接起来，形成一根MA，用以观察证券价格变动趋势的一种技术指标。</w:t>
      </w:r>
      <w:r w:rsidR="00F70880">
        <w:rPr>
          <w:rFonts w:hint="eastAsia"/>
        </w:rPr>
        <w:t>指数移动平均线</w:t>
      </w:r>
      <w:r w:rsidR="00326BF5">
        <w:rPr>
          <w:rFonts w:hint="eastAsia"/>
        </w:rPr>
        <w:t>(</w:t>
      </w:r>
      <w:r w:rsidR="00326BF5">
        <w:t>EMA)</w:t>
      </w:r>
      <w:r w:rsidR="003F7B25">
        <w:rPr>
          <w:rFonts w:hint="eastAsia"/>
        </w:rPr>
        <w:t>是在普通移动平均线的基础上改进，</w:t>
      </w:r>
      <w:r w:rsidR="009633B6">
        <w:rPr>
          <w:rFonts w:hint="eastAsia"/>
        </w:rPr>
        <w:t>其特殊点在于，E</w:t>
      </w:r>
      <w:r w:rsidR="009633B6">
        <w:t>MA</w:t>
      </w:r>
      <w:r w:rsidR="009633B6">
        <w:rPr>
          <w:rFonts w:hint="eastAsia"/>
        </w:rPr>
        <w:t>赋予不同交易日的报价的不同权重，</w:t>
      </w:r>
      <w:r w:rsidR="0078083B">
        <w:rPr>
          <w:rFonts w:hint="eastAsia"/>
        </w:rPr>
        <w:t>报价离当前越近，权重越大，对移动均线的走势影响也越大。</w:t>
      </w:r>
    </w:p>
    <w:p w14:paraId="30C05F96" w14:textId="241109A2" w:rsidR="00134715" w:rsidRDefault="00134715" w:rsidP="007849B8">
      <w:r>
        <w:rPr>
          <w:rFonts w:hint="eastAsia"/>
        </w:rPr>
        <w:t>指数移动平均线的计算公式如下：</w:t>
      </w:r>
    </w:p>
    <w:p w14:paraId="5748728D" w14:textId="5A6E755B" w:rsidR="007B13CD" w:rsidRPr="005300E4" w:rsidRDefault="00204C36" w:rsidP="007849B8">
      <w:pPr>
        <w:rPr>
          <w:rFonts w:ascii="宋体" w:eastAsia="宋体" w:hAnsi="宋体"/>
          <w:vertAlign w:val="subscript"/>
        </w:rPr>
      </w:pPr>
      <w:r>
        <w:rPr>
          <w:rFonts w:hint="eastAsia"/>
        </w:rPr>
        <w:t>b</w:t>
      </w:r>
      <w:r>
        <w:rPr>
          <w:vertAlign w:val="subscript"/>
        </w:rPr>
        <w:t>avg</w:t>
      </w:r>
      <w:r>
        <w:rPr>
          <w:rFonts w:hint="eastAsia"/>
        </w:rPr>
        <w:t>(</w:t>
      </w:r>
      <w:r>
        <w:t>t)</w:t>
      </w:r>
      <w:r w:rsidR="00C44C3D" w:rsidRPr="0006589A">
        <w:rPr>
          <w:rFonts w:ascii="宋体" w:eastAsia="宋体" w:hAnsi="宋体" w:hint="eastAsia"/>
          <w:vertAlign w:val="subscript"/>
        </w:rPr>
        <w:t>n</w:t>
      </w:r>
      <w:r w:rsidR="0062589B">
        <w:t>=(</w:t>
      </w:r>
      <w:r w:rsidR="00E10C3F" w:rsidRPr="00E10C3F">
        <w:t xml:space="preserve"> </w:t>
      </w:r>
      <w:r w:rsidR="00E10C3F">
        <w:t>P</w:t>
      </w:r>
      <w:r w:rsidR="00E10C3F">
        <w:rPr>
          <w:rFonts w:hint="eastAsia"/>
          <w:vertAlign w:val="subscript"/>
        </w:rPr>
        <w:t>cl</w:t>
      </w:r>
      <w:r w:rsidR="00E10C3F">
        <w:t>(</w:t>
      </w:r>
      <w:r w:rsidR="00E10C3F">
        <w:rPr>
          <w:rFonts w:hint="eastAsia"/>
        </w:rPr>
        <w:t>t</w:t>
      </w:r>
      <w:r w:rsidR="00E10C3F">
        <w:t>)</w:t>
      </w:r>
      <w:r w:rsidR="0062589B">
        <w:rPr>
          <w:rFonts w:hint="eastAsia"/>
        </w:rPr>
        <w:t>-</w:t>
      </w:r>
      <w:r w:rsidR="0006589A" w:rsidRPr="0006589A">
        <w:rPr>
          <w:rFonts w:hint="eastAsia"/>
        </w:rPr>
        <w:t xml:space="preserve"> </w:t>
      </w:r>
      <w:bookmarkStart w:id="0" w:name="_Hlk73108421"/>
      <w:r w:rsidR="0006589A">
        <w:rPr>
          <w:rFonts w:hint="eastAsia"/>
        </w:rPr>
        <w:t>b</w:t>
      </w:r>
      <w:r w:rsidR="0006589A">
        <w:rPr>
          <w:vertAlign w:val="subscript"/>
        </w:rPr>
        <w:t>avg</w:t>
      </w:r>
      <w:r w:rsidR="0006589A">
        <w:rPr>
          <w:rFonts w:hint="eastAsia"/>
        </w:rPr>
        <w:t>(</w:t>
      </w:r>
      <w:r w:rsidR="0006589A">
        <w:t>t)</w:t>
      </w:r>
      <w:r w:rsidR="0006589A" w:rsidRPr="0006589A">
        <w:rPr>
          <w:rFonts w:ascii="宋体" w:eastAsia="宋体" w:hAnsi="宋体" w:hint="eastAsia"/>
          <w:vertAlign w:val="subscript"/>
        </w:rPr>
        <w:t>n</w:t>
      </w:r>
      <w:r w:rsidR="0006589A">
        <w:rPr>
          <w:rFonts w:ascii="宋体" w:eastAsia="宋体" w:hAnsi="宋体"/>
          <w:vertAlign w:val="subscript"/>
        </w:rPr>
        <w:t>-1</w:t>
      </w:r>
      <w:bookmarkEnd w:id="0"/>
      <w:r w:rsidR="0062589B">
        <w:t>)</w:t>
      </w:r>
      <w:r w:rsidR="00225D9A">
        <w:t>*</w:t>
      </w:r>
      <w:r w:rsidR="008C62C6" w:rsidRPr="008C62C6">
        <w:rPr>
          <w:rFonts w:eastAsiaTheme="minorHAnsi"/>
        </w:rPr>
        <w:t xml:space="preserve"> </w:t>
      </w:r>
      <w:r w:rsidR="008C62C6">
        <w:rPr>
          <w:rFonts w:eastAsiaTheme="minorHAnsi"/>
        </w:rPr>
        <w:t>ξ</w:t>
      </w:r>
      <w:r w:rsidR="00AE5C82">
        <w:rPr>
          <w:rFonts w:eastAsiaTheme="minorHAnsi"/>
        </w:rPr>
        <w:t>+</w:t>
      </w:r>
      <w:r w:rsidR="000E2150" w:rsidRPr="000E2150">
        <w:rPr>
          <w:rFonts w:hint="eastAsia"/>
        </w:rPr>
        <w:t xml:space="preserve"> </w:t>
      </w:r>
      <w:r w:rsidR="000E2150">
        <w:rPr>
          <w:rFonts w:hint="eastAsia"/>
        </w:rPr>
        <w:t>b</w:t>
      </w:r>
      <w:r w:rsidR="000E2150">
        <w:rPr>
          <w:vertAlign w:val="subscript"/>
        </w:rPr>
        <w:t>avg</w:t>
      </w:r>
      <w:r w:rsidR="000E2150">
        <w:rPr>
          <w:rFonts w:hint="eastAsia"/>
        </w:rPr>
        <w:t>(</w:t>
      </w:r>
      <w:r w:rsidR="000E2150">
        <w:t>t)</w:t>
      </w:r>
      <w:r w:rsidR="000E2150" w:rsidRPr="0006589A">
        <w:rPr>
          <w:rFonts w:ascii="宋体" w:eastAsia="宋体" w:hAnsi="宋体" w:hint="eastAsia"/>
          <w:vertAlign w:val="subscript"/>
        </w:rPr>
        <w:t>n</w:t>
      </w:r>
      <w:r w:rsidR="000E2150">
        <w:rPr>
          <w:rFonts w:ascii="宋体" w:eastAsia="宋体" w:hAnsi="宋体"/>
          <w:vertAlign w:val="subscript"/>
        </w:rPr>
        <w:t>-1</w:t>
      </w:r>
    </w:p>
    <w:p w14:paraId="5F1C886D" w14:textId="0C470E84" w:rsidR="00E645BB" w:rsidRDefault="007E438D" w:rsidP="007849B8">
      <w:pPr>
        <w:rPr>
          <w:rFonts w:eastAsiaTheme="minorHAnsi"/>
        </w:rPr>
      </w:pPr>
      <w:r>
        <w:rPr>
          <w:rFonts w:hint="eastAsia"/>
        </w:rPr>
        <w:t>其中，</w:t>
      </w:r>
      <w:r w:rsidR="009030FA">
        <w:rPr>
          <w:rFonts w:hint="eastAsia"/>
        </w:rPr>
        <w:t>根据经验公式，取</w:t>
      </w:r>
      <w:r w:rsidR="0018661E">
        <w:rPr>
          <w:rFonts w:eastAsiaTheme="minorHAnsi"/>
        </w:rPr>
        <w:t>ξ</w:t>
      </w:r>
      <w:r w:rsidR="00E175F3">
        <w:rPr>
          <w:rFonts w:eastAsiaTheme="minorHAnsi" w:hint="eastAsia"/>
        </w:rPr>
        <w:t>=</w:t>
      </w:r>
      <w:r w:rsidR="00E175F3">
        <w:rPr>
          <w:rFonts w:eastAsiaTheme="minorHAnsi"/>
        </w:rPr>
        <w:t>2</w:t>
      </w:r>
      <w:r w:rsidR="00E175F3">
        <w:rPr>
          <w:rFonts w:eastAsiaTheme="minorHAnsi" w:hint="eastAsia"/>
        </w:rPr>
        <w:t>/</w:t>
      </w:r>
      <w:r w:rsidR="00E175F3">
        <w:rPr>
          <w:rFonts w:eastAsiaTheme="minorHAnsi"/>
        </w:rPr>
        <w:t>(1+T)</w:t>
      </w:r>
      <w:r w:rsidR="00E175F3">
        <w:rPr>
          <w:rFonts w:eastAsiaTheme="minorHAnsi" w:hint="eastAsia"/>
        </w:rPr>
        <w:t>，T为E</w:t>
      </w:r>
      <w:r w:rsidR="00E175F3">
        <w:rPr>
          <w:rFonts w:eastAsiaTheme="minorHAnsi"/>
        </w:rPr>
        <w:t>MA</w:t>
      </w:r>
      <w:r w:rsidR="00E175F3">
        <w:rPr>
          <w:rFonts w:eastAsiaTheme="minorHAnsi" w:hint="eastAsia"/>
        </w:rPr>
        <w:t>周期，</w:t>
      </w:r>
      <w:r w:rsidR="00DC3C50">
        <w:rPr>
          <w:rFonts w:eastAsiaTheme="minorHAnsi" w:hint="eastAsia"/>
        </w:rPr>
        <w:t>即题目中要求的5</w:t>
      </w:r>
      <w:r w:rsidR="007F6D37">
        <w:rPr>
          <w:rFonts w:eastAsiaTheme="minorHAnsi" w:hint="eastAsia"/>
        </w:rPr>
        <w:t>日、1</w:t>
      </w:r>
      <w:r w:rsidR="007F6D37">
        <w:rPr>
          <w:rFonts w:eastAsiaTheme="minorHAnsi"/>
        </w:rPr>
        <w:t>0</w:t>
      </w:r>
      <w:r w:rsidR="007F6D37">
        <w:rPr>
          <w:rFonts w:eastAsiaTheme="minorHAnsi" w:hint="eastAsia"/>
        </w:rPr>
        <w:t>日、2</w:t>
      </w:r>
      <w:r w:rsidR="007F6D37">
        <w:rPr>
          <w:rFonts w:eastAsiaTheme="minorHAnsi"/>
        </w:rPr>
        <w:t>0</w:t>
      </w:r>
      <w:r w:rsidR="007F6D37">
        <w:rPr>
          <w:rFonts w:eastAsiaTheme="minorHAnsi" w:hint="eastAsia"/>
        </w:rPr>
        <w:t>日</w:t>
      </w:r>
      <w:r w:rsidR="00896FC9">
        <w:rPr>
          <w:rFonts w:eastAsiaTheme="minorHAnsi" w:hint="eastAsia"/>
        </w:rPr>
        <w:t>。</w:t>
      </w:r>
    </w:p>
    <w:p w14:paraId="119ECF57" w14:textId="68D233FB" w:rsidR="00896FC9" w:rsidRDefault="0010253D" w:rsidP="007849B8">
      <w:pPr>
        <w:rPr>
          <w:rFonts w:eastAsiaTheme="minorHAnsi"/>
        </w:rPr>
      </w:pPr>
      <w:r>
        <w:rPr>
          <w:rFonts w:eastAsiaTheme="minorHAnsi" w:hint="eastAsia"/>
        </w:rPr>
        <w:t>通过</w:t>
      </w:r>
      <w:r w:rsidR="00641ED9">
        <w:rPr>
          <w:rFonts w:eastAsiaTheme="minorHAnsi" w:hint="eastAsia"/>
        </w:rPr>
        <w:t>上述</w:t>
      </w:r>
      <w:r>
        <w:rPr>
          <w:rFonts w:eastAsiaTheme="minorHAnsi" w:hint="eastAsia"/>
        </w:rPr>
        <w:t>公式，</w:t>
      </w:r>
      <w:r w:rsidR="004B3A3E">
        <w:rPr>
          <w:rFonts w:eastAsiaTheme="minorHAnsi" w:hint="eastAsia"/>
        </w:rPr>
        <w:t>分别</w:t>
      </w:r>
      <w:r w:rsidR="005F47AA">
        <w:rPr>
          <w:rFonts w:eastAsiaTheme="minorHAnsi" w:hint="eastAsia"/>
        </w:rPr>
        <w:t>计算</w:t>
      </w:r>
      <w:r w:rsidR="004B3A3E">
        <w:rPr>
          <w:rFonts w:eastAsiaTheme="minorHAnsi" w:hint="eastAsia"/>
        </w:rPr>
        <w:t>出</w:t>
      </w:r>
      <w:r w:rsidR="00965F57">
        <w:rPr>
          <w:rFonts w:eastAsiaTheme="minorHAnsi" w:hint="eastAsia"/>
        </w:rPr>
        <w:t>T</w:t>
      </w:r>
      <w:r w:rsidR="00965F57">
        <w:rPr>
          <w:rFonts w:eastAsiaTheme="minorHAnsi"/>
        </w:rPr>
        <w:t>=5</w:t>
      </w:r>
      <w:r w:rsidR="00965F57">
        <w:rPr>
          <w:rFonts w:eastAsiaTheme="minorHAnsi" w:hint="eastAsia"/>
        </w:rPr>
        <w:t>、</w:t>
      </w:r>
      <w:r w:rsidR="00965F57">
        <w:rPr>
          <w:rFonts w:eastAsiaTheme="minorHAnsi"/>
        </w:rPr>
        <w:t>10</w:t>
      </w:r>
      <w:r w:rsidR="00965F57">
        <w:rPr>
          <w:rFonts w:eastAsiaTheme="minorHAnsi" w:hint="eastAsia"/>
        </w:rPr>
        <w:t>、</w:t>
      </w:r>
      <w:r w:rsidR="00965F57">
        <w:rPr>
          <w:rFonts w:eastAsiaTheme="minorHAnsi"/>
        </w:rPr>
        <w:t>20</w:t>
      </w:r>
      <w:r w:rsidR="005F47AA">
        <w:rPr>
          <w:rFonts w:eastAsiaTheme="minorHAnsi" w:hint="eastAsia"/>
        </w:rPr>
        <w:t>时的</w:t>
      </w:r>
      <w:r w:rsidR="00FE6794">
        <w:rPr>
          <w:rFonts w:eastAsiaTheme="minorHAnsi" w:hint="eastAsia"/>
        </w:rPr>
        <w:t>当日指数移动均价，</w:t>
      </w:r>
      <w:r w:rsidR="004B3A3E">
        <w:rPr>
          <w:rFonts w:eastAsiaTheme="minorHAnsi" w:hint="eastAsia"/>
        </w:rPr>
        <w:t>记录在表格中并绘出</w:t>
      </w:r>
      <w:r w:rsidR="00297451">
        <w:rPr>
          <w:rFonts w:eastAsiaTheme="minorHAnsi" w:hint="eastAsia"/>
        </w:rPr>
        <w:t>可视化图表如下：</w:t>
      </w:r>
    </w:p>
    <w:p w14:paraId="099FC99B" w14:textId="317B7E33" w:rsidR="003B066E" w:rsidRPr="007E438D" w:rsidRDefault="003B066E" w:rsidP="007849B8">
      <w:r>
        <w:rPr>
          <w:rFonts w:hint="eastAsia"/>
          <w:noProof/>
        </w:rPr>
        <w:lastRenderedPageBreak/>
        <w:drawing>
          <wp:inline distT="0" distB="0" distL="0" distR="0" wp14:anchorId="1E4F4722" wp14:editId="446FD0C0">
            <wp:extent cx="5047699" cy="2735943"/>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065597" cy="2745644"/>
                    </a:xfrm>
                    <a:prstGeom prst="rect">
                      <a:avLst/>
                    </a:prstGeom>
                  </pic:spPr>
                </pic:pic>
              </a:graphicData>
            </a:graphic>
          </wp:inline>
        </w:drawing>
      </w:r>
      <w:r>
        <w:rPr>
          <w:rFonts w:hint="eastAsia"/>
          <w:noProof/>
        </w:rPr>
        <w:drawing>
          <wp:inline distT="0" distB="0" distL="0" distR="0" wp14:anchorId="146B4B34" wp14:editId="4F5A7F1D">
            <wp:extent cx="5045427" cy="2739571"/>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053526" cy="2743968"/>
                    </a:xfrm>
                    <a:prstGeom prst="rect">
                      <a:avLst/>
                    </a:prstGeom>
                  </pic:spPr>
                </pic:pic>
              </a:graphicData>
            </a:graphic>
          </wp:inline>
        </w:drawing>
      </w:r>
      <w:r>
        <w:rPr>
          <w:rFonts w:hint="eastAsia"/>
          <w:noProof/>
        </w:rPr>
        <w:drawing>
          <wp:inline distT="0" distB="0" distL="0" distR="0" wp14:anchorId="69A53215" wp14:editId="5875513E">
            <wp:extent cx="5050971" cy="27906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051909" cy="2791140"/>
                    </a:xfrm>
                    <a:prstGeom prst="rect">
                      <a:avLst/>
                    </a:prstGeom>
                  </pic:spPr>
                </pic:pic>
              </a:graphicData>
            </a:graphic>
          </wp:inline>
        </w:drawing>
      </w:r>
    </w:p>
    <w:p w14:paraId="17EB23D7" w14:textId="13A2A981" w:rsidR="00E42061" w:rsidRDefault="008630DA" w:rsidP="007849B8">
      <w:r>
        <w:rPr>
          <w:rFonts w:hint="eastAsia"/>
        </w:rPr>
        <w:t>当行情发生快速、剧烈的波动时，</w:t>
      </w:r>
      <w:r w:rsidR="00E34C84">
        <w:rPr>
          <w:rFonts w:hint="eastAsia"/>
        </w:rPr>
        <w:t>E</w:t>
      </w:r>
      <w:r w:rsidR="00E34C84">
        <w:t>MA</w:t>
      </w:r>
      <w:r w:rsidR="00AC370F">
        <w:rPr>
          <w:rFonts w:hint="eastAsia"/>
        </w:rPr>
        <w:t>更能反映近期价格波动的情况</w:t>
      </w:r>
      <w:r w:rsidR="00B13238">
        <w:rPr>
          <w:rFonts w:hint="eastAsia"/>
        </w:rPr>
        <w:t>，</w:t>
      </w:r>
      <w:r w:rsidR="00550D4F">
        <w:rPr>
          <w:rFonts w:hint="eastAsia"/>
        </w:rPr>
        <w:t>对于本题板块指数</w:t>
      </w:r>
      <w:r w:rsidR="00550D4F">
        <w:rPr>
          <w:rFonts w:hint="eastAsia"/>
        </w:rPr>
        <w:lastRenderedPageBreak/>
        <w:t>的分析</w:t>
      </w:r>
      <w:r w:rsidR="00EA0246">
        <w:rPr>
          <w:rFonts w:hint="eastAsia"/>
        </w:rPr>
        <w:t>具有</w:t>
      </w:r>
      <w:r w:rsidR="00550D4F">
        <w:rPr>
          <w:rFonts w:hint="eastAsia"/>
        </w:rPr>
        <w:t>很大的</w:t>
      </w:r>
      <w:r w:rsidR="0099392E">
        <w:rPr>
          <w:rFonts w:hint="eastAsia"/>
        </w:rPr>
        <w:t>参考价值</w:t>
      </w:r>
      <w:r w:rsidR="00B33456">
        <w:rPr>
          <w:rFonts w:hint="eastAsia"/>
        </w:rPr>
        <w:t>。</w:t>
      </w:r>
    </w:p>
    <w:p w14:paraId="15E465D4" w14:textId="77777777" w:rsidR="00BE4236" w:rsidRDefault="00BE4236" w:rsidP="007849B8"/>
    <w:p w14:paraId="3328B9B0" w14:textId="5AE2B47B" w:rsidR="006B0C15" w:rsidRDefault="007312D9" w:rsidP="007849B8">
      <w:r>
        <w:rPr>
          <w:rFonts w:hint="eastAsia"/>
        </w:rPr>
        <w:t>5.2问题二模型的建立与求解</w:t>
      </w:r>
    </w:p>
    <w:p w14:paraId="4632C64C" w14:textId="0AB68B0E" w:rsidR="00B661AB" w:rsidRDefault="00803CA3" w:rsidP="007849B8">
      <w:r>
        <w:rPr>
          <w:rFonts w:hint="eastAsia"/>
        </w:rPr>
        <w:t>根据板块指数的变化特点，我们</w:t>
      </w:r>
      <w:r w:rsidR="00460541">
        <w:rPr>
          <w:rFonts w:hint="eastAsia"/>
        </w:rPr>
        <w:t>提出了一种</w:t>
      </w:r>
      <w:r w:rsidR="00941D27">
        <w:rPr>
          <w:rFonts w:hint="eastAsia"/>
        </w:rPr>
        <w:t>R</w:t>
      </w:r>
      <w:r w:rsidR="00941D27">
        <w:t>NN-ARIMA</w:t>
      </w:r>
      <w:r w:rsidR="00941D27">
        <w:rPr>
          <w:rFonts w:hint="eastAsia"/>
        </w:rPr>
        <w:t>联合预测模型</w:t>
      </w:r>
      <w:r w:rsidR="00460541">
        <w:rPr>
          <w:rFonts w:hint="eastAsia"/>
        </w:rPr>
        <w:t>，给出预测结果及误差分析。</w:t>
      </w:r>
    </w:p>
    <w:p w14:paraId="24237813" w14:textId="26E467AA" w:rsidR="007312D9" w:rsidRDefault="007312D9" w:rsidP="007849B8">
      <w:r>
        <w:rPr>
          <w:rFonts w:hint="eastAsia"/>
        </w:rPr>
        <w:t>5.2.1</w:t>
      </w:r>
      <w:r w:rsidR="00407C1B">
        <w:rPr>
          <w:rFonts w:hint="eastAsia"/>
        </w:rPr>
        <w:t>基于</w:t>
      </w:r>
      <w:r>
        <w:rPr>
          <w:rFonts w:hint="eastAsia"/>
        </w:rPr>
        <w:t>循环神经网络</w:t>
      </w:r>
      <w:r w:rsidR="00BC4BF4">
        <w:rPr>
          <w:rFonts w:hint="eastAsia"/>
        </w:rPr>
        <w:t>模型</w:t>
      </w:r>
    </w:p>
    <w:p w14:paraId="73C20EFD" w14:textId="08E46119" w:rsidR="009F660C" w:rsidRPr="009F660C" w:rsidRDefault="00AD7D4E" w:rsidP="007849B8">
      <w:r>
        <w:rPr>
          <w:rFonts w:hint="eastAsia"/>
        </w:rPr>
        <w:t>5</w:t>
      </w:r>
      <w:r>
        <w:t>.2.1.1</w:t>
      </w:r>
      <w:r>
        <w:rPr>
          <w:rFonts w:hint="eastAsia"/>
        </w:rPr>
        <w:t>循环神经网络模型的建立</w:t>
      </w:r>
    </w:p>
    <w:p w14:paraId="3E2FD417" w14:textId="1D7E5FFA" w:rsidR="009F660C" w:rsidRDefault="00C02B24" w:rsidP="007849B8">
      <w:r>
        <w:t>1</w:t>
      </w:r>
      <w:r w:rsidR="009F660C">
        <w:rPr>
          <w:rFonts w:hint="eastAsia"/>
        </w:rPr>
        <w:t>、</w:t>
      </w:r>
      <w:r w:rsidR="001E5EBF">
        <w:rPr>
          <w:rFonts w:hint="eastAsia"/>
        </w:rPr>
        <w:t>R</w:t>
      </w:r>
      <w:r w:rsidR="001E5EBF">
        <w:t>NN</w:t>
      </w:r>
      <w:r w:rsidR="00535D15">
        <w:rPr>
          <w:rFonts w:hint="eastAsia"/>
        </w:rPr>
        <w:t>的搭建</w:t>
      </w:r>
    </w:p>
    <w:p w14:paraId="53C89EE2" w14:textId="2CB173BA" w:rsidR="001E5EBF" w:rsidRDefault="004B0CC2" w:rsidP="007849B8">
      <w:r>
        <w:rPr>
          <w:rFonts w:hint="eastAsia"/>
        </w:rPr>
        <w:t>循环神经网络（R</w:t>
      </w:r>
      <w:r>
        <w:t>NN</w:t>
      </w:r>
      <w:r>
        <w:rPr>
          <w:rFonts w:hint="eastAsia"/>
        </w:rPr>
        <w:t>），</w:t>
      </w:r>
      <w:r w:rsidR="007B0E6E">
        <w:rPr>
          <w:rFonts w:hint="eastAsia"/>
        </w:rPr>
        <w:t>适用于处理</w:t>
      </w:r>
      <w:r w:rsidR="00175E71">
        <w:rPr>
          <w:rFonts w:hint="eastAsia"/>
        </w:rPr>
        <w:t>时间</w:t>
      </w:r>
      <w:r w:rsidR="007B0E6E">
        <w:rPr>
          <w:rFonts w:hint="eastAsia"/>
        </w:rPr>
        <w:t>序列数据，与传统神经网络相比，R</w:t>
      </w:r>
      <w:r w:rsidR="007B0E6E">
        <w:t>NN</w:t>
      </w:r>
      <w:r w:rsidR="00662315">
        <w:rPr>
          <w:rFonts w:hint="eastAsia"/>
        </w:rPr>
        <w:t>一个序列的当前输出与前面的输出有关，具体表现在隐藏层是相互链接的，</w:t>
      </w:r>
      <w:r w:rsidR="004E1D34">
        <w:rPr>
          <w:rFonts w:hint="eastAsia"/>
        </w:rPr>
        <w:t>且隐藏层的输入既来自输入层，又包含上一时刻的输出</w:t>
      </w:r>
      <w:r w:rsidR="007522E2">
        <w:rPr>
          <w:rFonts w:hint="eastAsia"/>
        </w:rPr>
        <w:t>，</w:t>
      </w:r>
      <w:r w:rsidR="007522E2" w:rsidRPr="007522E2">
        <w:t>具有较强的鲁棒性和良好的泛化能力。</w:t>
      </w:r>
    </w:p>
    <w:p w14:paraId="50947F29" w14:textId="3016FA6A" w:rsidR="00A90DA6" w:rsidRDefault="00404F7D" w:rsidP="009D1250">
      <w:pPr>
        <w:jc w:val="center"/>
      </w:pPr>
      <w:r>
        <w:rPr>
          <w:noProof/>
        </w:rPr>
        <w:drawing>
          <wp:anchor distT="0" distB="0" distL="114300" distR="114300" simplePos="0" relativeHeight="251659264" behindDoc="0" locked="0" layoutInCell="1" allowOverlap="1" wp14:anchorId="28DA0109" wp14:editId="4E6680B6">
            <wp:simplePos x="0" y="0"/>
            <wp:positionH relativeFrom="column">
              <wp:posOffset>323263</wp:posOffset>
            </wp:positionH>
            <wp:positionV relativeFrom="paragraph">
              <wp:posOffset>57402</wp:posOffset>
            </wp:positionV>
            <wp:extent cx="4800600" cy="1157605"/>
            <wp:effectExtent l="0" t="0" r="0" b="4445"/>
            <wp:wrapTopAndBottom/>
            <wp:docPr id="6" name="图片 6" descr="C:\Users\刘浩宇\Documents\Tencent Files\786880419\Image\C2C\C7CB058463F5B7DFB03C9CCE2201EE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刘浩宇\Documents\Tencent Files\786880419\Image\C2C\C7CB058463F5B7DFB03C9CCE2201EEC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00600" cy="1157605"/>
                    </a:xfrm>
                    <a:prstGeom prst="rect">
                      <a:avLst/>
                    </a:prstGeom>
                    <a:noFill/>
                    <a:ln>
                      <a:noFill/>
                    </a:ln>
                  </pic:spPr>
                </pic:pic>
              </a:graphicData>
            </a:graphic>
          </wp:anchor>
        </w:drawing>
      </w:r>
    </w:p>
    <w:p w14:paraId="3587D51C" w14:textId="127E34BE" w:rsidR="009D1250" w:rsidRDefault="00AB5A2A" w:rsidP="009D1250">
      <w:pPr>
        <w:jc w:val="left"/>
      </w:pPr>
      <w:r>
        <w:rPr>
          <w:rFonts w:hint="eastAsia"/>
        </w:rPr>
        <w:t>根据股票的波动规律可知，板块指数的</w:t>
      </w:r>
      <w:r w:rsidR="004E5361">
        <w:rPr>
          <w:rFonts w:hint="eastAsia"/>
        </w:rPr>
        <w:t>变化规律必然与上个时期的数值有关，因此我们采用R</w:t>
      </w:r>
      <w:r w:rsidR="004E5361">
        <w:t>NN</w:t>
      </w:r>
      <w:r w:rsidR="004E5361">
        <w:rPr>
          <w:rFonts w:hint="eastAsia"/>
        </w:rPr>
        <w:t>取代传统神经网络，对</w:t>
      </w:r>
      <w:r w:rsidR="008E1968">
        <w:rPr>
          <w:rFonts w:hint="eastAsia"/>
        </w:rPr>
        <w:t>板块指数</w:t>
      </w:r>
      <w:r w:rsidR="00AB075E">
        <w:rPr>
          <w:rFonts w:hint="eastAsia"/>
        </w:rPr>
        <w:t>进行拟合与预测</w:t>
      </w:r>
      <w:r w:rsidR="002B5BC8">
        <w:rPr>
          <w:rFonts w:hint="eastAsia"/>
        </w:rPr>
        <w:t>。</w:t>
      </w:r>
    </w:p>
    <w:p w14:paraId="1434BE02" w14:textId="7B329941" w:rsidR="00C02B24" w:rsidRDefault="00C02B24" w:rsidP="00C02B24">
      <w:r w:rsidRPr="00365D44">
        <w:rPr>
          <w:rFonts w:hint="eastAsia"/>
        </w:rPr>
        <w:t>为了训练神经网络，本文</w:t>
      </w:r>
      <w:r>
        <w:rPr>
          <w:rFonts w:hint="eastAsia"/>
        </w:rPr>
        <w:t>选取2020年1月30日到2021年4月30日的板块指数移动平均线作为</w:t>
      </w:r>
      <w:r w:rsidR="00107E82">
        <w:rPr>
          <w:rFonts w:hint="eastAsia"/>
        </w:rPr>
        <w:t>输入</w:t>
      </w:r>
      <w:r>
        <w:rPr>
          <w:rFonts w:hint="eastAsia"/>
        </w:rPr>
        <w:t>。选择2021年5月6日至5月28日的板块指数移动平均线</w:t>
      </w:r>
      <w:r w:rsidR="00233361">
        <w:rPr>
          <w:rFonts w:hint="eastAsia"/>
        </w:rPr>
        <w:t>的预测值作为标签来进行训练</w:t>
      </w:r>
      <w:r w:rsidR="001B731F">
        <w:rPr>
          <w:rFonts w:hint="eastAsia"/>
        </w:rPr>
        <w:t>，层次图如下：</w:t>
      </w:r>
    </w:p>
    <w:p w14:paraId="5F2E4B65" w14:textId="25438B56" w:rsidR="006E680D" w:rsidRDefault="006E680D" w:rsidP="00C02B24">
      <w:r>
        <w:rPr>
          <w:rFonts w:hint="eastAsia"/>
          <w:noProof/>
        </w:rPr>
        <w:drawing>
          <wp:inline distT="0" distB="0" distL="0" distR="0" wp14:anchorId="2B452A7A" wp14:editId="3E811B34">
            <wp:extent cx="5274310" cy="31591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159125"/>
                    </a:xfrm>
                    <a:prstGeom prst="rect">
                      <a:avLst/>
                    </a:prstGeom>
                  </pic:spPr>
                </pic:pic>
              </a:graphicData>
            </a:graphic>
          </wp:inline>
        </w:drawing>
      </w:r>
    </w:p>
    <w:p w14:paraId="3698B842" w14:textId="77777777" w:rsidR="001B731F" w:rsidRDefault="001B731F" w:rsidP="00C02B24"/>
    <w:p w14:paraId="0EBA20B0" w14:textId="01547E03" w:rsidR="00877674" w:rsidRPr="00365D44" w:rsidRDefault="001F1E16" w:rsidP="00877674">
      <w:pPr>
        <w:jc w:val="left"/>
      </w:pPr>
      <w:r>
        <w:rPr>
          <w:rFonts w:hint="eastAsia"/>
        </w:rPr>
        <w:t>本模型中，</w:t>
      </w:r>
      <w:r w:rsidR="006E680D">
        <w:rPr>
          <w:rFonts w:hint="eastAsia"/>
        </w:rPr>
        <w:t>综合板块指数模型与R</w:t>
      </w:r>
      <w:r w:rsidR="006E680D">
        <w:t>NN</w:t>
      </w:r>
      <w:r w:rsidR="006E680D">
        <w:rPr>
          <w:rFonts w:hint="eastAsia"/>
        </w:rPr>
        <w:t>网络层特点，s</w:t>
      </w:r>
      <w:r w:rsidR="006E680D">
        <w:t>implernn</w:t>
      </w:r>
      <w:r w:rsidR="006E680D">
        <w:rPr>
          <w:rFonts w:hint="eastAsia"/>
        </w:rPr>
        <w:t>层激活函数选择r</w:t>
      </w:r>
      <w:r w:rsidR="006E680D">
        <w:t>elu</w:t>
      </w:r>
      <w:r w:rsidR="006E680D">
        <w:rPr>
          <w:rFonts w:hint="eastAsia"/>
        </w:rPr>
        <w:t>，</w:t>
      </w:r>
      <w:r>
        <w:rPr>
          <w:rFonts w:hint="eastAsia"/>
        </w:rPr>
        <w:t>F</w:t>
      </w:r>
      <w:r>
        <w:t>C</w:t>
      </w:r>
      <w:r>
        <w:rPr>
          <w:rFonts w:hint="eastAsia"/>
        </w:rPr>
        <w:t>层激活函数选择</w:t>
      </w:r>
      <w:r w:rsidR="005B3533">
        <w:rPr>
          <w:rFonts w:hint="eastAsia"/>
        </w:rPr>
        <w:t>ta</w:t>
      </w:r>
      <w:r w:rsidR="005B3533">
        <w:t>nh</w:t>
      </w:r>
      <w:r w:rsidR="009C1E79">
        <w:rPr>
          <w:rFonts w:hint="eastAsia"/>
        </w:rPr>
        <w:t>。</w:t>
      </w:r>
    </w:p>
    <w:p w14:paraId="1F0359C2" w14:textId="14B73880" w:rsidR="00365D44" w:rsidRDefault="00365D44" w:rsidP="009D1250">
      <w:pPr>
        <w:jc w:val="left"/>
      </w:pPr>
      <w:r w:rsidRPr="00365D44">
        <w:t>，</w:t>
      </w:r>
      <w:r w:rsidRPr="006C5920">
        <w:rPr>
          <w:highlight w:val="yellow"/>
        </w:rPr>
        <w:t>结果如下</w:t>
      </w:r>
      <w:r w:rsidR="008A7922">
        <w:rPr>
          <w:rFonts w:hint="eastAsia"/>
        </w:rPr>
        <w:t>：</w:t>
      </w:r>
    </w:p>
    <w:p w14:paraId="59C8AE5F" w14:textId="77777777" w:rsidR="00A90DA6" w:rsidRDefault="00A90DA6" w:rsidP="007849B8"/>
    <w:p w14:paraId="7D14E5FE" w14:textId="50A5F1EB" w:rsidR="004239EB" w:rsidRDefault="00E144AB" w:rsidP="007849B8">
      <w:r>
        <w:lastRenderedPageBreak/>
        <w:t>2</w:t>
      </w:r>
      <w:r w:rsidR="001E5EBF">
        <w:rPr>
          <w:rFonts w:hint="eastAsia"/>
        </w:rPr>
        <w:t>、</w:t>
      </w:r>
      <w:r>
        <w:rPr>
          <w:rFonts w:hint="eastAsia"/>
        </w:rPr>
        <w:t>Adam</w:t>
      </w:r>
      <w:r w:rsidR="009F660C">
        <w:rPr>
          <w:rFonts w:hint="eastAsia"/>
        </w:rPr>
        <w:t>优化</w:t>
      </w:r>
    </w:p>
    <w:p w14:paraId="1DEDC885" w14:textId="2CEC7D0F" w:rsidR="002C2756" w:rsidRDefault="002C2756" w:rsidP="007849B8">
      <w:r>
        <w:rPr>
          <w:rFonts w:hint="eastAsia"/>
        </w:rPr>
        <w:t>在用R</w:t>
      </w:r>
      <w:r>
        <w:t>NN</w:t>
      </w:r>
      <w:r>
        <w:rPr>
          <w:rFonts w:hint="eastAsia"/>
        </w:rPr>
        <w:t>进行数据的拟合与预测时，难免会产生一定误差</w:t>
      </w:r>
      <w:r w:rsidR="00C47B7F">
        <w:rPr>
          <w:rFonts w:hint="eastAsia"/>
        </w:rPr>
        <w:t>。</w:t>
      </w:r>
      <w:r w:rsidR="007F5492">
        <w:rPr>
          <w:rFonts w:hint="eastAsia"/>
        </w:rPr>
        <w:t>梯度下降法作为训练神经网络最常用的优化算法，具有</w:t>
      </w:r>
      <w:r w:rsidR="004602D7">
        <w:rPr>
          <w:rFonts w:hint="eastAsia"/>
        </w:rPr>
        <w:t>实现简单，收敛速度快的特点，</w:t>
      </w:r>
      <w:r w:rsidR="0060337C">
        <w:rPr>
          <w:rFonts w:hint="eastAsia"/>
        </w:rPr>
        <w:t>而A</w:t>
      </w:r>
      <w:r w:rsidR="0060337C">
        <w:t>dam</w:t>
      </w:r>
      <w:r w:rsidR="0060337C">
        <w:rPr>
          <w:rFonts w:hint="eastAsia"/>
        </w:rPr>
        <w:t>优化算法是</w:t>
      </w:r>
      <w:r w:rsidR="00361553">
        <w:rPr>
          <w:rFonts w:hint="eastAsia"/>
        </w:rPr>
        <w:t>随机</w:t>
      </w:r>
      <w:r w:rsidR="0060337C">
        <w:rPr>
          <w:rFonts w:hint="eastAsia"/>
        </w:rPr>
        <w:t>梯度下降算法的扩展式，广泛运用到深度学习中。</w:t>
      </w:r>
      <w:r w:rsidR="00431ABA">
        <w:rPr>
          <w:rFonts w:hint="eastAsia"/>
        </w:rPr>
        <w:t>与传统梯度下降不同，</w:t>
      </w:r>
      <w:r w:rsidR="00584077">
        <w:rPr>
          <w:rFonts w:hint="eastAsia"/>
        </w:rPr>
        <w:t>Adam算法通过计算梯度的一阶矩估计和二阶矩估计二维不同的参数设计独立的自适应性学习率。</w:t>
      </w:r>
      <w:r w:rsidR="00DC0063">
        <w:rPr>
          <w:rFonts w:hint="eastAsia"/>
        </w:rPr>
        <w:t>较为适用于本题搭建的R</w:t>
      </w:r>
      <w:r w:rsidR="00DC0063">
        <w:t>NN</w:t>
      </w:r>
      <w:r w:rsidR="00432BCA">
        <w:rPr>
          <w:rFonts w:hint="eastAsia"/>
        </w:rPr>
        <w:t>。</w:t>
      </w:r>
      <w:r w:rsidR="002B5BC8">
        <w:rPr>
          <w:rFonts w:hint="eastAsia"/>
        </w:rPr>
        <w:t>训练过程采用Adam进行优化</w:t>
      </w:r>
      <w:r w:rsidR="00ED0BA5">
        <w:rPr>
          <w:rFonts w:hint="eastAsia"/>
        </w:rPr>
        <w:t>，具体原理如下：</w:t>
      </w:r>
    </w:p>
    <w:p w14:paraId="783845B5" w14:textId="59949C6E" w:rsidR="00E13209" w:rsidRDefault="00843456" w:rsidP="007849B8">
      <w:r>
        <w:rPr>
          <w:rFonts w:hint="eastAsia"/>
        </w:rPr>
        <w:t>使用数学特性较好</w:t>
      </w:r>
      <w:r w:rsidR="00073402">
        <w:rPr>
          <w:rFonts w:hint="eastAsia"/>
        </w:rPr>
        <w:t>，与梯度下降相配行较大</w:t>
      </w:r>
      <w:r>
        <w:rPr>
          <w:rFonts w:hint="eastAsia"/>
        </w:rPr>
        <w:t>的M</w:t>
      </w:r>
      <w:r>
        <w:t>SEL</w:t>
      </w:r>
      <w:r>
        <w:rPr>
          <w:rFonts w:hint="eastAsia"/>
        </w:rPr>
        <w:t>oss来</w:t>
      </w:r>
      <w:r w:rsidR="006A0EF9">
        <w:rPr>
          <w:rFonts w:hint="eastAsia"/>
        </w:rPr>
        <w:t>定义</w:t>
      </w:r>
      <w:r>
        <w:rPr>
          <w:rFonts w:hint="eastAsia"/>
        </w:rPr>
        <w:t>损失函数</w:t>
      </w:r>
      <w:r w:rsidR="00CF0E68">
        <w:rPr>
          <w:rFonts w:ascii="Cambria Math" w:hAnsi="Cambria Math"/>
          <w:i/>
        </w:rPr>
        <w:t>F</w:t>
      </w:r>
      <w:r>
        <w:rPr>
          <w:rFonts w:hint="eastAsia"/>
        </w:rPr>
        <w:t>，</w:t>
      </w:r>
      <w:r w:rsidR="00E13209">
        <w:rPr>
          <w:rFonts w:hint="eastAsia"/>
        </w:rPr>
        <w:t>其计算公式为：</w:t>
      </w:r>
    </w:p>
    <w:p w14:paraId="767EE2BA" w14:textId="45A9E33A" w:rsidR="00614481" w:rsidRPr="00533869" w:rsidRDefault="00CF0E68" w:rsidP="00533869">
      <w:pPr>
        <w:jc w:val="center"/>
        <w:rPr>
          <w:rFonts w:ascii="Cambria Math" w:hAnsi="Cambria Math"/>
          <w:i/>
          <w:vertAlign w:val="superscript"/>
        </w:rPr>
      </w:pPr>
      <w:r>
        <w:rPr>
          <w:rFonts w:ascii="Cambria Math" w:hAnsi="Cambria Math"/>
          <w:i/>
        </w:rPr>
        <w:t>F</w:t>
      </w:r>
      <w:r w:rsidR="00633A11">
        <w:rPr>
          <w:rFonts w:ascii="Cambria Math" w:hAnsi="Cambria Math"/>
          <w:i/>
        </w:rPr>
        <w:t>(</w:t>
      </w:r>
      <w:r w:rsidR="00633A11" w:rsidRPr="007D0C96">
        <w:rPr>
          <w:rFonts w:ascii="Cambria Math" w:hAnsi="Cambria Math"/>
          <w:i/>
        </w:rPr>
        <w:t>x</w:t>
      </w:r>
      <w:r w:rsidR="00633A11">
        <w:rPr>
          <w:rFonts w:ascii="Cambria Math" w:hAnsi="Cambria Math"/>
          <w:i/>
          <w:vertAlign w:val="subscript"/>
        </w:rPr>
        <w:t>i</w:t>
      </w:r>
      <w:r w:rsidR="00633A11">
        <w:rPr>
          <w:rFonts w:ascii="Cambria Math" w:hAnsi="Cambria Math"/>
          <w:i/>
        </w:rPr>
        <w:t xml:space="preserve"> , </w:t>
      </w:r>
      <w:r w:rsidR="00633A11" w:rsidRPr="007D0C96">
        <w:rPr>
          <w:rFonts w:ascii="Cambria Math" w:hAnsi="Cambria Math"/>
          <w:i/>
        </w:rPr>
        <w:t>y</w:t>
      </w:r>
      <w:r w:rsidR="00633A11">
        <w:rPr>
          <w:rFonts w:ascii="Cambria Math" w:hAnsi="Cambria Math"/>
          <w:i/>
          <w:vertAlign w:val="subscript"/>
        </w:rPr>
        <w:t>i</w:t>
      </w:r>
      <w:r w:rsidR="00633A11">
        <w:rPr>
          <w:rFonts w:ascii="Cambria Math" w:hAnsi="Cambria Math"/>
          <w:i/>
        </w:rPr>
        <w:t>)</w:t>
      </w:r>
      <w:r w:rsidR="007D0C96">
        <w:rPr>
          <w:rFonts w:ascii="Cambria Math" w:hAnsi="Cambria Math"/>
          <w:i/>
        </w:rPr>
        <w:t xml:space="preserve"> </w:t>
      </w:r>
      <w:r w:rsidR="007D0C96" w:rsidRPr="007D0C96">
        <w:rPr>
          <w:rFonts w:ascii="Cambria Math" w:hAnsi="Cambria Math"/>
          <w:i/>
        </w:rPr>
        <w:t>=</w:t>
      </w:r>
      <w:r w:rsidR="007D0C96">
        <w:rPr>
          <w:rFonts w:ascii="Cambria Math" w:hAnsi="Cambria Math"/>
          <w:i/>
        </w:rPr>
        <w:t xml:space="preserve"> </w:t>
      </w:r>
      <w:r w:rsidR="007D0C96" w:rsidRPr="007D0C96">
        <w:rPr>
          <w:rFonts w:ascii="Cambria Math" w:hAnsi="Cambria Math"/>
          <w:i/>
        </w:rPr>
        <w:t>(</w:t>
      </w:r>
      <w:r w:rsidR="007D0C96">
        <w:rPr>
          <w:rFonts w:ascii="Cambria Math" w:hAnsi="Cambria Math"/>
          <w:i/>
        </w:rPr>
        <w:t xml:space="preserve"> </w:t>
      </w:r>
      <w:r w:rsidR="007D0C96" w:rsidRPr="007D0C96">
        <w:rPr>
          <w:rFonts w:ascii="Cambria Math" w:hAnsi="Cambria Math"/>
          <w:i/>
        </w:rPr>
        <w:t>x</w:t>
      </w:r>
      <w:r w:rsidR="007D0C96">
        <w:rPr>
          <w:rFonts w:ascii="Cambria Math" w:hAnsi="Cambria Math"/>
          <w:i/>
          <w:vertAlign w:val="subscript"/>
        </w:rPr>
        <w:t>i</w:t>
      </w:r>
      <w:r w:rsidR="007D0C96">
        <w:rPr>
          <w:rFonts w:ascii="Cambria Math" w:hAnsi="Cambria Math"/>
          <w:i/>
        </w:rPr>
        <w:t xml:space="preserve"> – </w:t>
      </w:r>
      <w:r w:rsidR="007D0C96" w:rsidRPr="007D0C96">
        <w:rPr>
          <w:rFonts w:ascii="Cambria Math" w:hAnsi="Cambria Math"/>
          <w:i/>
        </w:rPr>
        <w:t>y</w:t>
      </w:r>
      <w:r w:rsidR="007D0C96">
        <w:rPr>
          <w:rFonts w:ascii="Cambria Math" w:hAnsi="Cambria Math"/>
          <w:i/>
          <w:vertAlign w:val="subscript"/>
        </w:rPr>
        <w:t>i</w:t>
      </w:r>
      <w:r w:rsidR="007D0C96">
        <w:rPr>
          <w:rFonts w:ascii="Cambria Math" w:hAnsi="Cambria Math"/>
          <w:i/>
        </w:rPr>
        <w:t xml:space="preserve"> </w:t>
      </w:r>
      <w:r w:rsidR="007D0C96" w:rsidRPr="007D0C96">
        <w:rPr>
          <w:rFonts w:ascii="Cambria Math" w:hAnsi="Cambria Math"/>
          <w:i/>
        </w:rPr>
        <w:t>)</w:t>
      </w:r>
      <w:r w:rsidR="007D0C96">
        <w:rPr>
          <w:rFonts w:ascii="Cambria Math" w:hAnsi="Cambria Math"/>
          <w:i/>
          <w:vertAlign w:val="superscript"/>
        </w:rPr>
        <w:t>2</w:t>
      </w:r>
    </w:p>
    <w:p w14:paraId="2204CB34" w14:textId="6E465FBA" w:rsidR="00981EE8" w:rsidRDefault="00981EE8" w:rsidP="00FF6360">
      <w:pPr>
        <w:rPr>
          <w:iCs/>
        </w:rPr>
      </w:pPr>
      <w:r>
        <w:rPr>
          <w:rFonts w:hint="eastAsia"/>
          <w:iCs/>
        </w:rPr>
        <w:t>更新公式如下：</w:t>
      </w:r>
    </w:p>
    <w:p w14:paraId="1CD34255" w14:textId="77B5059D" w:rsidR="00981EE8" w:rsidRDefault="009A1A3E" w:rsidP="009A1A3E">
      <w:pPr>
        <w:jc w:val="center"/>
        <w:rPr>
          <w:iCs/>
        </w:rPr>
      </w:pPr>
      <w:r>
        <w:rPr>
          <w:rFonts w:hint="eastAsia"/>
          <w:iCs/>
          <w:noProof/>
        </w:rPr>
        <w:drawing>
          <wp:inline distT="0" distB="0" distL="0" distR="0" wp14:anchorId="4B8A3FB4" wp14:editId="7434F8D3">
            <wp:extent cx="1844155" cy="507552"/>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5282" cy="518871"/>
                    </a:xfrm>
                    <a:prstGeom prst="rect">
                      <a:avLst/>
                    </a:prstGeom>
                  </pic:spPr>
                </pic:pic>
              </a:graphicData>
            </a:graphic>
          </wp:inline>
        </w:drawing>
      </w:r>
    </w:p>
    <w:p w14:paraId="6FA6DC60" w14:textId="77777777" w:rsidR="006F38A1" w:rsidRDefault="004229E9" w:rsidP="007F5E54">
      <w:pPr>
        <w:jc w:val="left"/>
        <w:rPr>
          <w:iCs/>
        </w:rPr>
      </w:pPr>
      <w:r>
        <w:rPr>
          <w:rFonts w:hint="eastAsia"/>
          <w:iCs/>
        </w:rPr>
        <w:t>式中，</w:t>
      </w:r>
      <w:r>
        <w:rPr>
          <w:rFonts w:asciiTheme="minorEastAsia" w:hAnsiTheme="minorEastAsia" w:hint="eastAsia"/>
          <w:iCs/>
        </w:rPr>
        <w:t>α</w:t>
      </w:r>
      <w:r>
        <w:rPr>
          <w:rFonts w:hint="eastAsia"/>
          <w:iCs/>
        </w:rPr>
        <w:t>为学习率，</w:t>
      </w:r>
      <w:r>
        <w:rPr>
          <w:rFonts w:asciiTheme="minorEastAsia" w:hAnsiTheme="minorEastAsia" w:hint="eastAsia"/>
          <w:iCs/>
        </w:rPr>
        <w:t>θ</w:t>
      </w:r>
      <w:r>
        <w:rPr>
          <w:rFonts w:hint="eastAsia"/>
          <w:iCs/>
        </w:rPr>
        <w:t>为待优化参数，</w:t>
      </w:r>
      <w:r w:rsidR="00E25C2B">
        <w:rPr>
          <w:rFonts w:hint="eastAsia"/>
          <w:iCs/>
        </w:rPr>
        <w:t>mt为</w:t>
      </w:r>
      <w:r w:rsidR="00E25C2B">
        <w:rPr>
          <w:rFonts w:ascii="Arial" w:hAnsi="Arial" w:cs="Arial"/>
          <w:color w:val="262626"/>
          <w:szCs w:val="21"/>
          <w:shd w:val="clear" w:color="auto" w:fill="FFFFFF"/>
        </w:rPr>
        <w:t>指数移动均值</w:t>
      </w:r>
      <w:r w:rsidR="00E25C2B">
        <w:rPr>
          <w:rFonts w:ascii="Arial" w:hAnsi="Arial" w:cs="Arial" w:hint="eastAsia"/>
          <w:color w:val="262626"/>
          <w:szCs w:val="21"/>
          <w:shd w:val="clear" w:color="auto" w:fill="FFFFFF"/>
        </w:rPr>
        <w:t>，</w:t>
      </w:r>
      <w:r w:rsidR="00E25C2B">
        <w:rPr>
          <w:rFonts w:ascii="Arial" w:hAnsi="Arial" w:cs="Arial" w:hint="eastAsia"/>
          <w:color w:val="262626"/>
          <w:szCs w:val="21"/>
          <w:shd w:val="clear" w:color="auto" w:fill="FFFFFF"/>
        </w:rPr>
        <w:t>v</w:t>
      </w:r>
      <w:r w:rsidR="00E25C2B">
        <w:rPr>
          <w:rFonts w:ascii="Arial" w:hAnsi="Arial" w:cs="Arial"/>
          <w:color w:val="262626"/>
          <w:szCs w:val="21"/>
          <w:shd w:val="clear" w:color="auto" w:fill="FFFFFF"/>
        </w:rPr>
        <w:t>t</w:t>
      </w:r>
      <w:r w:rsidR="00E25C2B">
        <w:rPr>
          <w:rFonts w:ascii="Arial" w:hAnsi="Arial" w:cs="Arial" w:hint="eastAsia"/>
          <w:color w:val="262626"/>
          <w:szCs w:val="21"/>
          <w:shd w:val="clear" w:color="auto" w:fill="FFFFFF"/>
        </w:rPr>
        <w:t>为</w:t>
      </w:r>
      <w:r w:rsidR="00E25C2B">
        <w:rPr>
          <w:rFonts w:ascii="Arial" w:hAnsi="Arial" w:cs="Arial"/>
          <w:color w:val="262626"/>
          <w:szCs w:val="21"/>
          <w:shd w:val="clear" w:color="auto" w:fill="FFFFFF"/>
        </w:rPr>
        <w:t>平方梯度</w:t>
      </w:r>
      <w:r w:rsidR="00E25C2B">
        <w:rPr>
          <w:rFonts w:ascii="Arial" w:hAnsi="Arial" w:cs="Arial" w:hint="eastAsia"/>
          <w:color w:val="262626"/>
          <w:szCs w:val="21"/>
          <w:shd w:val="clear" w:color="auto" w:fill="FFFFFF"/>
        </w:rPr>
        <w:t>，</w:t>
      </w:r>
      <w:r w:rsidR="003745F7">
        <w:rPr>
          <w:rFonts w:asciiTheme="minorEastAsia" w:hAnsiTheme="minorEastAsia" w:cs="Arial" w:hint="eastAsia"/>
          <w:color w:val="262626"/>
          <w:szCs w:val="21"/>
          <w:shd w:val="clear" w:color="auto" w:fill="FFFFFF"/>
        </w:rPr>
        <w:t>β</w:t>
      </w:r>
      <w:r w:rsidR="003745F7">
        <w:rPr>
          <w:rFonts w:asciiTheme="minorEastAsia" w:hAnsiTheme="minorEastAsia" w:cs="Arial" w:hint="eastAsia"/>
          <w:color w:val="262626"/>
          <w:szCs w:val="21"/>
          <w:shd w:val="clear" w:color="auto" w:fill="FFFFFF"/>
          <w:vertAlign w:val="subscript"/>
        </w:rPr>
        <w:t>1</w:t>
      </w:r>
      <w:r w:rsidR="003745F7">
        <w:rPr>
          <w:rFonts w:ascii="Arial" w:hAnsi="Arial" w:cs="Arial" w:hint="eastAsia"/>
          <w:color w:val="262626"/>
          <w:szCs w:val="21"/>
          <w:shd w:val="clear" w:color="auto" w:fill="FFFFFF"/>
        </w:rPr>
        <w:t>、</w:t>
      </w:r>
      <w:r w:rsidR="003745F7">
        <w:rPr>
          <w:rFonts w:asciiTheme="minorEastAsia" w:hAnsiTheme="minorEastAsia" w:cs="Arial" w:hint="eastAsia"/>
          <w:color w:val="262626"/>
          <w:szCs w:val="21"/>
          <w:shd w:val="clear" w:color="auto" w:fill="FFFFFF"/>
        </w:rPr>
        <w:t>β</w:t>
      </w:r>
      <w:r w:rsidR="003745F7">
        <w:rPr>
          <w:rFonts w:asciiTheme="minorEastAsia" w:hAnsiTheme="minorEastAsia" w:cs="Arial" w:hint="eastAsia"/>
          <w:color w:val="262626"/>
          <w:szCs w:val="21"/>
          <w:shd w:val="clear" w:color="auto" w:fill="FFFFFF"/>
          <w:vertAlign w:val="subscript"/>
        </w:rPr>
        <w:t>2</w:t>
      </w:r>
      <w:r w:rsidR="003745F7">
        <w:rPr>
          <w:rFonts w:asciiTheme="minorEastAsia" w:hAnsiTheme="minorEastAsia" w:cs="Arial" w:hint="eastAsia"/>
          <w:color w:val="262626"/>
          <w:szCs w:val="21"/>
          <w:shd w:val="clear" w:color="auto" w:fill="FFFFFF"/>
        </w:rPr>
        <w:t>分别为一阶、二阶矩估计的指数衰减率。</w:t>
      </w:r>
      <w:r w:rsidR="00372FF7">
        <w:rPr>
          <w:rFonts w:hint="eastAsia"/>
          <w:iCs/>
        </w:rPr>
        <w:t>经过多次迭代</w:t>
      </w:r>
      <w:r w:rsidR="00072DF8">
        <w:rPr>
          <w:rFonts w:hint="eastAsia"/>
          <w:iCs/>
        </w:rPr>
        <w:t>取</w:t>
      </w:r>
      <w:r w:rsidR="00CE15F5">
        <w:rPr>
          <w:rFonts w:hint="eastAsia"/>
          <w:iCs/>
        </w:rPr>
        <w:t>到</w:t>
      </w:r>
      <w:r w:rsidR="00FD7F3F">
        <w:rPr>
          <w:rFonts w:hint="eastAsia"/>
          <w:iCs/>
        </w:rPr>
        <w:t>合适的参数</w:t>
      </w:r>
      <w:r w:rsidR="00372FF7">
        <w:rPr>
          <w:rFonts w:hint="eastAsia"/>
          <w:iCs/>
        </w:rPr>
        <w:t>，</w:t>
      </w:r>
      <w:r w:rsidR="00193F10">
        <w:rPr>
          <w:rFonts w:hint="eastAsia"/>
          <w:iCs/>
        </w:rPr>
        <w:t>得到较为理想的拟合效果。</w:t>
      </w:r>
    </w:p>
    <w:p w14:paraId="331CC203" w14:textId="37F290B9" w:rsidR="00FF6360" w:rsidRPr="00372FF7" w:rsidRDefault="008C0FC3" w:rsidP="007F5E54">
      <w:pPr>
        <w:jc w:val="left"/>
        <w:rPr>
          <w:iCs/>
        </w:rPr>
      </w:pPr>
      <w:r w:rsidRPr="008C0FC3">
        <w:rPr>
          <w:rFonts w:hint="eastAsia"/>
          <w:iCs/>
          <w:highlight w:val="yellow"/>
        </w:rPr>
        <w:t>优化效果对比图如下：（如果有的话）</w:t>
      </w:r>
    </w:p>
    <w:p w14:paraId="066A8FB0" w14:textId="77777777" w:rsidR="003666E7" w:rsidRPr="003666E7" w:rsidRDefault="003666E7" w:rsidP="007849B8"/>
    <w:p w14:paraId="6E4A63A7" w14:textId="62A43164" w:rsidR="00AD7D4E" w:rsidRDefault="00AD7D4E" w:rsidP="007849B8">
      <w:r>
        <w:rPr>
          <w:rFonts w:hint="eastAsia"/>
        </w:rPr>
        <w:t>5.2.1.2基于循环神经网络模型的预测及分析</w:t>
      </w:r>
    </w:p>
    <w:p w14:paraId="01CE297E" w14:textId="7FD886F8" w:rsidR="00B37E4F" w:rsidRDefault="00B37E4F" w:rsidP="00B37E4F">
      <w:r>
        <w:rPr>
          <w:rFonts w:hint="eastAsia"/>
        </w:rPr>
        <w:t>(1</w:t>
      </w:r>
      <w:r>
        <w:t>)</w:t>
      </w:r>
      <w:r w:rsidRPr="008B7207">
        <w:rPr>
          <w:rFonts w:hint="eastAsia"/>
          <w:highlight w:val="yellow"/>
        </w:rPr>
        <w:t xml:space="preserve"> </w:t>
      </w:r>
      <w:r w:rsidR="00B53E7A">
        <w:t>RNN</w:t>
      </w:r>
      <w:r>
        <w:rPr>
          <w:rFonts w:hint="eastAsia"/>
        </w:rPr>
        <w:t>模型的预测结果</w:t>
      </w:r>
    </w:p>
    <w:p w14:paraId="5D1A8962" w14:textId="062F30DF" w:rsidR="00B37E4F" w:rsidRDefault="00B37E4F" w:rsidP="00B37E4F">
      <w:r>
        <w:rPr>
          <w:rFonts w:hint="eastAsia"/>
        </w:rPr>
        <w:t>基于建立好的</w:t>
      </w:r>
      <w:r>
        <w:t>RNN</w:t>
      </w:r>
      <w:r>
        <w:rPr>
          <w:rFonts w:hint="eastAsia"/>
        </w:rPr>
        <w:t>模型，通过Python编程预测了2021年5月28日之后90个交易日的光伏建筑一体化板块指数，将完整数据置于附录中，正文中只显示题目要求预测的20个交易日的日移动平均线、3周的周移动平均线和2个月的月移动平均线。</w:t>
      </w:r>
    </w:p>
    <w:p w14:paraId="5E1560CD" w14:textId="77777777" w:rsidR="00B37E4F" w:rsidRPr="00B05921" w:rsidRDefault="00B37E4F" w:rsidP="00B37E4F">
      <w:pPr>
        <w:rPr>
          <w:highlight w:val="yellow"/>
        </w:rPr>
      </w:pPr>
      <w:r w:rsidRPr="00B05921">
        <w:rPr>
          <w:rFonts w:hint="eastAsia"/>
          <w:highlight w:val="yellow"/>
        </w:rPr>
        <w:t>通过excel计算20个交易日的5日、10日、20日移动平均线，结果如下：</w:t>
      </w:r>
    </w:p>
    <w:p w14:paraId="752F6E0A" w14:textId="77777777" w:rsidR="00B37E4F" w:rsidRPr="00B05921" w:rsidRDefault="00B37E4F" w:rsidP="00B37E4F">
      <w:pPr>
        <w:rPr>
          <w:highlight w:val="yellow"/>
        </w:rPr>
      </w:pPr>
      <w:r w:rsidRPr="00B05921">
        <w:rPr>
          <w:rFonts w:hint="eastAsia"/>
          <w:highlight w:val="yellow"/>
        </w:rPr>
        <w:t>20个交易日的5日移动平均线表格/曲线</w:t>
      </w:r>
    </w:p>
    <w:p w14:paraId="379D601B" w14:textId="77777777" w:rsidR="00B37E4F" w:rsidRPr="00B05921" w:rsidRDefault="00B37E4F" w:rsidP="00B37E4F">
      <w:pPr>
        <w:rPr>
          <w:highlight w:val="yellow"/>
        </w:rPr>
      </w:pPr>
      <w:r w:rsidRPr="00B05921">
        <w:rPr>
          <w:rFonts w:hint="eastAsia"/>
          <w:highlight w:val="yellow"/>
        </w:rPr>
        <w:t>10日表格/曲线</w:t>
      </w:r>
    </w:p>
    <w:p w14:paraId="2B7CC9FF" w14:textId="77777777" w:rsidR="00B37E4F" w:rsidRPr="00B05921" w:rsidRDefault="00B37E4F" w:rsidP="00B37E4F">
      <w:pPr>
        <w:rPr>
          <w:highlight w:val="yellow"/>
        </w:rPr>
      </w:pPr>
      <w:r w:rsidRPr="00B05921">
        <w:rPr>
          <w:rFonts w:hint="eastAsia"/>
          <w:highlight w:val="yellow"/>
        </w:rPr>
        <w:t>20日表格/曲线</w:t>
      </w:r>
    </w:p>
    <w:p w14:paraId="6D5DFB79" w14:textId="77777777" w:rsidR="00B37E4F" w:rsidRPr="00B05921" w:rsidRDefault="00B37E4F" w:rsidP="00B37E4F">
      <w:pPr>
        <w:rPr>
          <w:highlight w:val="yellow"/>
        </w:rPr>
      </w:pPr>
      <w:r w:rsidRPr="00B05921">
        <w:rPr>
          <w:rFonts w:hint="eastAsia"/>
          <w:highlight w:val="yellow"/>
        </w:rPr>
        <w:t>预测3周的周移动平均线，结果如下：</w:t>
      </w:r>
    </w:p>
    <w:p w14:paraId="498547DE" w14:textId="77777777" w:rsidR="00B37E4F" w:rsidRPr="00B05921" w:rsidRDefault="00B37E4F" w:rsidP="00B37E4F">
      <w:pPr>
        <w:rPr>
          <w:highlight w:val="yellow"/>
        </w:rPr>
      </w:pPr>
    </w:p>
    <w:p w14:paraId="1922F3AE" w14:textId="77777777" w:rsidR="00B37E4F" w:rsidRDefault="00B37E4F" w:rsidP="00B37E4F">
      <w:r w:rsidRPr="00B05921">
        <w:rPr>
          <w:rFonts w:hint="eastAsia"/>
          <w:highlight w:val="yellow"/>
        </w:rPr>
        <w:t>预测2个月的月移动平均线，结果如下：</w:t>
      </w:r>
    </w:p>
    <w:p w14:paraId="6CEB207E" w14:textId="77777777" w:rsidR="00B37E4F" w:rsidRDefault="00B37E4F" w:rsidP="00B37E4F"/>
    <w:p w14:paraId="134A6A27" w14:textId="77777777" w:rsidR="00B37E4F" w:rsidRDefault="00B37E4F" w:rsidP="00B37E4F">
      <w:r>
        <w:rPr>
          <w:rFonts w:hint="eastAsia"/>
        </w:rPr>
        <w:t>(2</w:t>
      </w:r>
      <w:r>
        <w:t>)</w:t>
      </w:r>
      <w:r>
        <w:rPr>
          <w:rFonts w:hint="eastAsia"/>
        </w:rPr>
        <w:t>拟合效果的检验</w:t>
      </w:r>
    </w:p>
    <w:p w14:paraId="28D70EB2" w14:textId="77777777" w:rsidR="00B37E4F" w:rsidRDefault="00B37E4F" w:rsidP="00B37E4F">
      <w:r>
        <w:rPr>
          <w:rFonts w:hint="eastAsia"/>
        </w:rPr>
        <w:t>选取2020年1月30日到2021年4月30日的板块指数进行拟合，拟合曲线如下：</w:t>
      </w:r>
    </w:p>
    <w:p w14:paraId="5D5B82CD" w14:textId="77777777" w:rsidR="00B37E4F" w:rsidRDefault="00B37E4F" w:rsidP="00B37E4F">
      <w:r w:rsidRPr="00D243D0">
        <w:rPr>
          <w:rFonts w:hint="eastAsia"/>
          <w:highlight w:val="yellow"/>
        </w:rPr>
        <w:t>训练数据拟合图</w:t>
      </w:r>
    </w:p>
    <w:p w14:paraId="1AB5DEE6" w14:textId="092D9861" w:rsidR="00B37E4F" w:rsidRDefault="00B37E4F" w:rsidP="00B37E4F">
      <w:r>
        <w:rPr>
          <w:rFonts w:hint="eastAsia"/>
        </w:rPr>
        <w:t>并用2021年5月6日到2021年5月28日的数据作为测试数据分析</w:t>
      </w:r>
      <w:r w:rsidR="00427849">
        <w:t>RNN</w:t>
      </w:r>
      <w:r>
        <w:rPr>
          <w:rFonts w:hint="eastAsia"/>
        </w:rPr>
        <w:t>模型的拟合效果。</w:t>
      </w:r>
    </w:p>
    <w:p w14:paraId="4E34CAA9" w14:textId="77777777" w:rsidR="00B37E4F" w:rsidRDefault="00B37E4F" w:rsidP="00B37E4F">
      <w:r w:rsidRPr="00F56E72">
        <w:rPr>
          <w:rFonts w:hint="eastAsia"/>
          <w:highlight w:val="yellow"/>
        </w:rPr>
        <w:t>测试数据拟合图</w:t>
      </w:r>
    </w:p>
    <w:p w14:paraId="5A4F9C92" w14:textId="77777777" w:rsidR="00B37E4F" w:rsidRDefault="00B37E4F" w:rsidP="00B37E4F">
      <w:r>
        <w:rPr>
          <w:rFonts w:hint="eastAsia"/>
          <w:highlight w:val="yellow"/>
        </w:rPr>
        <w:t>测试数据预测值与真实值表格</w:t>
      </w:r>
    </w:p>
    <w:p w14:paraId="3B366B73" w14:textId="77777777" w:rsidR="00B37E4F" w:rsidRDefault="00B37E4F" w:rsidP="00B37E4F">
      <w:r>
        <w:rPr>
          <w:rFonts w:hint="eastAsia"/>
        </w:rPr>
        <w:t>对上述测试数据进行均方误差的计算，均方误差计算公式为：</w:t>
      </w:r>
    </w:p>
    <w:p w14:paraId="31C4EF86" w14:textId="77777777" w:rsidR="00B37E4F" w:rsidRDefault="00B37E4F" w:rsidP="00B37E4F">
      <w:pPr>
        <w:pStyle w:val="AMDisplayEquation"/>
      </w:pPr>
      <w:r>
        <w:tab/>
      </w:r>
      <w:r w:rsidRPr="00F47CC1">
        <w:rPr>
          <w:position w:val="-28"/>
        </w:rPr>
        <w:object w:dxaOrig="2416" w:dyaOrig="666" w14:anchorId="439D3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6pt;height:33.6pt" o:ole="">
            <v:imagedata r:id="rId13" o:title=""/>
          </v:shape>
          <o:OLEObject Type="Embed" ProgID="Equation.AxMath" ShapeID="_x0000_i1025" DrawAspect="Content" ObjectID="_1683931377" r:id="rId14"/>
        </w:object>
      </w:r>
    </w:p>
    <w:p w14:paraId="6B25ABDD" w14:textId="1FBDE238" w:rsidR="00B37E4F" w:rsidRDefault="00B37E4F" w:rsidP="00B37E4F">
      <w:r>
        <w:rPr>
          <w:rFonts w:hint="eastAsia"/>
        </w:rPr>
        <w:t>通过Python编程计算，得到基于</w:t>
      </w:r>
      <w:r w:rsidR="0056301A">
        <w:t>RNN</w:t>
      </w:r>
      <w:r>
        <w:rPr>
          <w:rFonts w:hint="eastAsia"/>
        </w:rPr>
        <w:t>模型拟合的均方误差为xxx。</w:t>
      </w:r>
      <w:r w:rsidRPr="00B661AB">
        <w:rPr>
          <w:rFonts w:hint="eastAsia"/>
          <w:highlight w:val="yellow"/>
        </w:rPr>
        <w:t>通过观察拟合曲线以及对均方误差的分析可以看出，</w:t>
      </w:r>
      <w:r w:rsidR="0020457C">
        <w:rPr>
          <w:rFonts w:hint="eastAsia"/>
          <w:highlight w:val="yellow"/>
        </w:rPr>
        <w:t>仅</w:t>
      </w:r>
      <w:r>
        <w:rPr>
          <w:rFonts w:hint="eastAsia"/>
          <w:highlight w:val="yellow"/>
        </w:rPr>
        <w:t>采用</w:t>
      </w:r>
      <w:r w:rsidR="00D6188B">
        <w:t>RNN</w:t>
      </w:r>
      <w:r w:rsidR="0020457C">
        <w:rPr>
          <w:rFonts w:hint="eastAsia"/>
        </w:rPr>
        <w:t>对板块指数进行预测</w:t>
      </w:r>
      <w:r w:rsidR="005D5430">
        <w:rPr>
          <w:rFonts w:hint="eastAsia"/>
        </w:rPr>
        <w:t>并不好</w:t>
      </w:r>
      <w:r w:rsidR="0020457C">
        <w:rPr>
          <w:rFonts w:hint="eastAsia"/>
        </w:rPr>
        <w:t>，</w:t>
      </w:r>
      <w:r w:rsidR="005D5430">
        <w:rPr>
          <w:rFonts w:hint="eastAsia"/>
        </w:rPr>
        <w:t>曲线变化过于平滑，与波动较大的板块指数变化数据匹配度不够</w:t>
      </w:r>
      <w:r w:rsidR="00C32EC8">
        <w:rPr>
          <w:rFonts w:hint="eastAsia"/>
        </w:rPr>
        <w:t>，需要改进。</w:t>
      </w:r>
    </w:p>
    <w:p w14:paraId="45A8778A" w14:textId="261C1A7B" w:rsidR="007312D9" w:rsidRPr="00B37E4F" w:rsidRDefault="007312D9" w:rsidP="007849B8"/>
    <w:p w14:paraId="1F30A3F9" w14:textId="77777777" w:rsidR="00535D15" w:rsidRDefault="00535D15" w:rsidP="007849B8"/>
    <w:p w14:paraId="4A739D2A" w14:textId="480D3DC2" w:rsidR="007312D9" w:rsidRDefault="007312D9" w:rsidP="007849B8">
      <w:r>
        <w:rPr>
          <w:rFonts w:hint="eastAsia"/>
        </w:rPr>
        <w:t>5.2.2</w:t>
      </w:r>
      <w:r w:rsidR="00407C1B">
        <w:rPr>
          <w:rFonts w:hint="eastAsia"/>
        </w:rPr>
        <w:t>基于</w:t>
      </w:r>
      <w:r>
        <w:rPr>
          <w:rFonts w:hint="eastAsia"/>
        </w:rPr>
        <w:t>ARIMA模型</w:t>
      </w:r>
    </w:p>
    <w:p w14:paraId="1F8D4E18" w14:textId="6DA1788F" w:rsidR="007312D9" w:rsidRDefault="00760259" w:rsidP="007849B8">
      <w:r>
        <w:rPr>
          <w:rFonts w:hint="eastAsia"/>
        </w:rPr>
        <w:t>5.2.2.1</w:t>
      </w:r>
      <w:r w:rsidR="00336E10">
        <w:rPr>
          <w:rFonts w:hint="eastAsia"/>
        </w:rPr>
        <w:t>ARIMA模型的建立</w:t>
      </w:r>
    </w:p>
    <w:p w14:paraId="669AFBA9" w14:textId="33A3FF7D" w:rsidR="00336E10" w:rsidRDefault="00336E10" w:rsidP="007849B8">
      <w:r>
        <w:rPr>
          <w:rFonts w:hint="eastAsia"/>
        </w:rPr>
        <w:t>(</w:t>
      </w:r>
      <w:r>
        <w:t>1)</w:t>
      </w:r>
      <w:r>
        <w:rPr>
          <w:rFonts w:hint="eastAsia"/>
        </w:rPr>
        <w:t>数据预处理</w:t>
      </w:r>
    </w:p>
    <w:p w14:paraId="7AFD8351" w14:textId="040CA9C3" w:rsidR="00760259" w:rsidRDefault="002234DB" w:rsidP="007849B8">
      <w:r>
        <w:rPr>
          <w:rFonts w:hint="eastAsia"/>
        </w:rPr>
        <w:t>选取2020年1月30日到2021年4月30日的板块指数移动平均线作为训练数据，</w:t>
      </w:r>
      <w:r w:rsidR="00C3134A">
        <w:rPr>
          <w:rFonts w:hint="eastAsia"/>
        </w:rPr>
        <w:t>用于拟合数据，构建模型。选择2021年5月6日至5月28日的板块指数移动平均线作为测试数据，</w:t>
      </w:r>
      <w:r w:rsidR="00C3134A" w:rsidRPr="001028D2">
        <w:rPr>
          <w:rFonts w:hint="eastAsia"/>
          <w:color w:val="FF0000"/>
          <w:highlight w:val="yellow"/>
        </w:rPr>
        <w:t>用于对ARIMA模型的误差分析与拟合效果的检验</w:t>
      </w:r>
      <w:r w:rsidR="00C3134A">
        <w:rPr>
          <w:rFonts w:hint="eastAsia"/>
        </w:rPr>
        <w:t>。</w:t>
      </w:r>
    </w:p>
    <w:p w14:paraId="045FAA19" w14:textId="77777777" w:rsidR="00C3134A" w:rsidRDefault="00C3134A" w:rsidP="007849B8"/>
    <w:p w14:paraId="6D26F0F4" w14:textId="7ED773A1" w:rsidR="00C3134A" w:rsidRDefault="00336E10" w:rsidP="007849B8">
      <w:r>
        <w:t>(2)</w:t>
      </w:r>
      <w:r w:rsidR="00C3134A">
        <w:rPr>
          <w:rFonts w:hint="eastAsia"/>
        </w:rPr>
        <w:t>数据平稳性检验</w:t>
      </w:r>
    </w:p>
    <w:p w14:paraId="2A19532F" w14:textId="1B4A980C" w:rsidR="00C3134A" w:rsidRDefault="00BD7D21" w:rsidP="007849B8">
      <w:r>
        <w:rPr>
          <w:rFonts w:hint="eastAsia"/>
        </w:rPr>
        <w:t>采用ARIMA模型需要时间序列满足平稳性和非白噪声的要求，因此，</w:t>
      </w:r>
      <w:r w:rsidR="00AD49E7">
        <w:rPr>
          <w:rFonts w:hint="eastAsia"/>
        </w:rPr>
        <w:t>绘制出板块指数移动平均线的走势图以及自相关图。</w:t>
      </w:r>
    </w:p>
    <w:p w14:paraId="104C0E27" w14:textId="136F0769" w:rsidR="00AD49E7" w:rsidRPr="001028D2" w:rsidRDefault="00AD49E7" w:rsidP="007849B8">
      <w:pPr>
        <w:rPr>
          <w:highlight w:val="yellow"/>
        </w:rPr>
      </w:pPr>
      <w:r w:rsidRPr="001028D2">
        <w:rPr>
          <w:rFonts w:hint="eastAsia"/>
          <w:highlight w:val="yellow"/>
        </w:rPr>
        <w:t>图形</w:t>
      </w:r>
    </w:p>
    <w:p w14:paraId="257BFA66" w14:textId="2C848AAB" w:rsidR="00AD49E7" w:rsidRDefault="00AD49E7" w:rsidP="007849B8">
      <w:r w:rsidRPr="001028D2">
        <w:rPr>
          <w:rFonts w:hint="eastAsia"/>
          <w:highlight w:val="yellow"/>
        </w:rPr>
        <w:t>图形</w:t>
      </w:r>
    </w:p>
    <w:p w14:paraId="73C89870" w14:textId="4EFDAE67" w:rsidR="00AD49E7" w:rsidRDefault="00E10538" w:rsidP="007849B8">
      <w:r>
        <w:rPr>
          <w:rFonts w:hint="eastAsia"/>
        </w:rPr>
        <w:t>由自相关图</w:t>
      </w:r>
      <w:r w:rsidR="00AD49E7">
        <w:rPr>
          <w:rFonts w:hint="eastAsia"/>
        </w:rPr>
        <w:t>初步认为该板块指数移动平均线时间序列为非平稳时间序列。接下来我们对其平稳性做统计检验</w:t>
      </w:r>
      <w:r w:rsidR="00BC4BF4">
        <w:rPr>
          <w:rFonts w:hint="eastAsia"/>
        </w:rPr>
        <w:t>。</w:t>
      </w:r>
    </w:p>
    <w:p w14:paraId="0B0D8531" w14:textId="44E4B086" w:rsidR="00BC4BF4" w:rsidRDefault="00BC4BF4" w:rsidP="007849B8">
      <w:r>
        <w:rPr>
          <w:rFonts w:hint="eastAsia"/>
        </w:rPr>
        <w:t>原假设H0：原时间序列为非平稳序列；备择假设H1：原时间序列为平稳序列。</w:t>
      </w:r>
      <w:r w:rsidR="001028D2">
        <w:rPr>
          <w:rFonts w:hint="eastAsia"/>
        </w:rPr>
        <w:t>取显著性水平为5%。</w:t>
      </w:r>
    </w:p>
    <w:p w14:paraId="1454D7EE" w14:textId="6C72F048" w:rsidR="001028D2" w:rsidRDefault="001028D2" w:rsidP="007849B8">
      <w:r w:rsidRPr="001028D2">
        <w:rPr>
          <w:rFonts w:hint="eastAsia"/>
          <w:highlight w:val="yellow"/>
        </w:rPr>
        <w:t>计算检验统计量xxxxxxxx，以及在5%显著性水平下的临界值xxxxxx，由于统计检验量xxx</w:t>
      </w:r>
      <w:r w:rsidRPr="001028D2">
        <w:rPr>
          <w:highlight w:val="yellow"/>
        </w:rPr>
        <w:t>&gt;</w:t>
      </w:r>
      <w:r w:rsidRPr="001028D2">
        <w:rPr>
          <w:rFonts w:hint="eastAsia"/>
          <w:highlight w:val="yellow"/>
        </w:rPr>
        <w:t>5%显著性水平下的临界值xxx，无法拒绝原假设，因此判定原时间序列非平稳。</w:t>
      </w:r>
    </w:p>
    <w:p w14:paraId="67E4EEE0" w14:textId="5EC9E702" w:rsidR="00BC4BF4" w:rsidRDefault="00336E10" w:rsidP="007849B8">
      <w:r>
        <w:t>(3)</w:t>
      </w:r>
      <w:r w:rsidR="001028D2">
        <w:rPr>
          <w:rFonts w:hint="eastAsia"/>
        </w:rPr>
        <w:t>对原时间序列进行差分运算</w:t>
      </w:r>
    </w:p>
    <w:p w14:paraId="63E7104F" w14:textId="06794F1E" w:rsidR="001028D2" w:rsidRDefault="001028D2" w:rsidP="007849B8">
      <w:r>
        <w:rPr>
          <w:rFonts w:hint="eastAsia"/>
        </w:rPr>
        <w:t>为消除</w:t>
      </w:r>
      <w:r w:rsidR="001B4943">
        <w:rPr>
          <w:rFonts w:hint="eastAsia"/>
        </w:rPr>
        <w:t>原始板块指数移动平均线</w:t>
      </w:r>
      <w:r>
        <w:rPr>
          <w:rFonts w:hint="eastAsia"/>
        </w:rPr>
        <w:t>随机趋势</w:t>
      </w:r>
      <w:r w:rsidR="00E10538">
        <w:rPr>
          <w:rFonts w:hint="eastAsia"/>
        </w:rPr>
        <w:t>对建模的影响，</w:t>
      </w:r>
      <w:r w:rsidR="001B4943">
        <w:rPr>
          <w:rFonts w:hint="eastAsia"/>
        </w:rPr>
        <w:t>对数据进行一次差分处理，并绘制出一阶差分后的时间序列图、一阶差分自相关图以及一阶差分偏自相关图。</w:t>
      </w:r>
    </w:p>
    <w:p w14:paraId="6A0CAA0E" w14:textId="6AC87F03" w:rsidR="001B4943" w:rsidRPr="001B4943" w:rsidRDefault="001B4943" w:rsidP="007849B8">
      <w:pPr>
        <w:rPr>
          <w:highlight w:val="yellow"/>
        </w:rPr>
      </w:pPr>
      <w:r w:rsidRPr="001B4943">
        <w:rPr>
          <w:rFonts w:hint="eastAsia"/>
          <w:highlight w:val="yellow"/>
        </w:rPr>
        <w:t>图形</w:t>
      </w:r>
    </w:p>
    <w:p w14:paraId="1FB22396" w14:textId="6BAD37D8" w:rsidR="001B4943" w:rsidRPr="001B4943" w:rsidRDefault="001B4943" w:rsidP="007849B8">
      <w:pPr>
        <w:rPr>
          <w:highlight w:val="yellow"/>
        </w:rPr>
      </w:pPr>
      <w:r w:rsidRPr="001B4943">
        <w:rPr>
          <w:rFonts w:hint="eastAsia"/>
          <w:highlight w:val="yellow"/>
        </w:rPr>
        <w:t>图形</w:t>
      </w:r>
    </w:p>
    <w:p w14:paraId="6F445818" w14:textId="6776D917" w:rsidR="001B4943" w:rsidRDefault="001B4943" w:rsidP="007849B8">
      <w:r w:rsidRPr="001B4943">
        <w:rPr>
          <w:rFonts w:hint="eastAsia"/>
          <w:highlight w:val="yellow"/>
        </w:rPr>
        <w:t>图形</w:t>
      </w:r>
    </w:p>
    <w:p w14:paraId="55732910" w14:textId="3C8382B0" w:rsidR="001B4943" w:rsidRDefault="001B4943" w:rsidP="007849B8">
      <w:r>
        <w:rPr>
          <w:rFonts w:hint="eastAsia"/>
        </w:rPr>
        <w:t>对一阶差分后的序列进行平稳性检验。令原假设H0：一阶差分序列是非平稳序列；备择假设H1：一阶差分序列是平稳序列。取显著性水平为5%。</w:t>
      </w:r>
    </w:p>
    <w:p w14:paraId="1C396624" w14:textId="198E14D7" w:rsidR="001B4943" w:rsidRDefault="001B4943" w:rsidP="007849B8">
      <w:r w:rsidRPr="001B4943">
        <w:rPr>
          <w:rFonts w:hint="eastAsia"/>
          <w:highlight w:val="yellow"/>
        </w:rPr>
        <w:t>同样计算</w:t>
      </w:r>
      <w:r w:rsidRPr="001028D2">
        <w:rPr>
          <w:rFonts w:hint="eastAsia"/>
          <w:highlight w:val="yellow"/>
        </w:rPr>
        <w:t>检验统计量xxxxxxxx，以及在5%显著性水平下的临界值xxxxxx，由于统计检验量xxx</w:t>
      </w:r>
      <w:r>
        <w:rPr>
          <w:highlight w:val="yellow"/>
        </w:rPr>
        <w:t>&lt;</w:t>
      </w:r>
      <w:r w:rsidRPr="001028D2">
        <w:rPr>
          <w:rFonts w:hint="eastAsia"/>
          <w:highlight w:val="yellow"/>
        </w:rPr>
        <w:t>5%显著性水平下的临界值xxx</w:t>
      </w:r>
      <w:r w:rsidR="00E10538">
        <w:rPr>
          <w:rFonts w:hint="eastAsia"/>
          <w:highlight w:val="yellow"/>
        </w:rPr>
        <w:t>，拒绝原假设，因此</w:t>
      </w:r>
      <w:r w:rsidRPr="001028D2">
        <w:rPr>
          <w:rFonts w:hint="eastAsia"/>
          <w:highlight w:val="yellow"/>
        </w:rPr>
        <w:t>判定</w:t>
      </w:r>
      <w:r>
        <w:rPr>
          <w:rFonts w:hint="eastAsia"/>
          <w:highlight w:val="yellow"/>
        </w:rPr>
        <w:t>原数据的一阶差分</w:t>
      </w:r>
      <w:r w:rsidRPr="001028D2">
        <w:rPr>
          <w:rFonts w:hint="eastAsia"/>
          <w:highlight w:val="yellow"/>
        </w:rPr>
        <w:t>序列</w:t>
      </w:r>
      <w:r>
        <w:rPr>
          <w:rFonts w:hint="eastAsia"/>
          <w:highlight w:val="yellow"/>
        </w:rPr>
        <w:t>为</w:t>
      </w:r>
      <w:r w:rsidRPr="001028D2">
        <w:rPr>
          <w:rFonts w:hint="eastAsia"/>
          <w:highlight w:val="yellow"/>
        </w:rPr>
        <w:t>平稳</w:t>
      </w:r>
      <w:r w:rsidR="007A22E5">
        <w:rPr>
          <w:rFonts w:hint="eastAsia"/>
          <w:highlight w:val="yellow"/>
        </w:rPr>
        <w:t>序列</w:t>
      </w:r>
      <w:r w:rsidRPr="001028D2">
        <w:rPr>
          <w:rFonts w:hint="eastAsia"/>
          <w:highlight w:val="yellow"/>
        </w:rPr>
        <w:t>。</w:t>
      </w:r>
    </w:p>
    <w:p w14:paraId="056949E8" w14:textId="6A73C7ED" w:rsidR="007A22E5" w:rsidRPr="00543AF2" w:rsidRDefault="00336E10" w:rsidP="007849B8">
      <w:pPr>
        <w:rPr>
          <w:color w:val="FF0000"/>
        </w:rPr>
      </w:pPr>
      <w:r>
        <w:rPr>
          <w:color w:val="FF0000"/>
          <w:highlight w:val="yellow"/>
        </w:rPr>
        <w:t>(4)</w:t>
      </w:r>
      <w:r w:rsidR="00407C1B" w:rsidRPr="00543AF2">
        <w:rPr>
          <w:rFonts w:hint="eastAsia"/>
          <w:color w:val="FF0000"/>
          <w:highlight w:val="yellow"/>
        </w:rPr>
        <w:t>模型定阶</w:t>
      </w:r>
    </w:p>
    <w:p w14:paraId="6EBE54F0" w14:textId="7CA0DB7E" w:rsidR="009C3365" w:rsidRPr="00543AF2" w:rsidRDefault="00407C1B" w:rsidP="007849B8">
      <w:pPr>
        <w:rPr>
          <w:color w:val="FF0000"/>
          <w:highlight w:val="yellow"/>
        </w:rPr>
      </w:pPr>
      <w:r w:rsidRPr="00543AF2">
        <w:rPr>
          <w:rFonts w:hint="eastAsia"/>
          <w:color w:val="FF0000"/>
          <w:highlight w:val="yellow"/>
        </w:rPr>
        <w:t>在确定了</w:t>
      </w:r>
      <w:r w:rsidR="005F362D" w:rsidRPr="00543AF2">
        <w:rPr>
          <w:rFonts w:hint="eastAsia"/>
          <w:color w:val="FF0000"/>
          <w:highlight w:val="yellow"/>
        </w:rPr>
        <w:t>ARIMA模型中的</w:t>
      </w:r>
      <w:r w:rsidR="00E10538">
        <w:rPr>
          <w:rFonts w:hint="eastAsia"/>
          <w:color w:val="FF0000"/>
          <w:highlight w:val="yellow"/>
        </w:rPr>
        <w:t>差分阶数之后，</w:t>
      </w:r>
      <w:r w:rsidR="005F362D" w:rsidRPr="00543AF2">
        <w:rPr>
          <w:rFonts w:hint="eastAsia"/>
          <w:color w:val="FF0000"/>
          <w:highlight w:val="yellow"/>
        </w:rPr>
        <w:t>还需要确定自回归模型</w:t>
      </w:r>
      <w:r w:rsidR="009C3365" w:rsidRPr="00543AF2">
        <w:rPr>
          <w:rFonts w:hint="eastAsia"/>
          <w:color w:val="FF0000"/>
          <w:highlight w:val="yellow"/>
        </w:rPr>
        <w:t>的</w:t>
      </w:r>
      <w:r w:rsidR="005F362D" w:rsidRPr="00543AF2">
        <w:rPr>
          <w:rFonts w:hint="eastAsia"/>
          <w:color w:val="FF0000"/>
          <w:highlight w:val="yellow"/>
        </w:rPr>
        <w:t>阶数p和移动平均模型</w:t>
      </w:r>
      <w:r w:rsidR="009C3365" w:rsidRPr="00543AF2">
        <w:rPr>
          <w:rFonts w:hint="eastAsia"/>
          <w:color w:val="FF0000"/>
          <w:highlight w:val="yellow"/>
        </w:rPr>
        <w:t>的</w:t>
      </w:r>
      <w:r w:rsidR="005F362D" w:rsidRPr="00543AF2">
        <w:rPr>
          <w:rFonts w:hint="eastAsia"/>
          <w:color w:val="FF0000"/>
          <w:highlight w:val="yellow"/>
        </w:rPr>
        <w:t>阶数q</w:t>
      </w:r>
      <w:r w:rsidR="00F03739" w:rsidRPr="00543AF2">
        <w:rPr>
          <w:rFonts w:hint="eastAsia"/>
          <w:color w:val="FF0000"/>
          <w:highlight w:val="yellow"/>
        </w:rPr>
        <w:t>。p阶自回归过程定义为</w:t>
      </w:r>
      <w:r w:rsidR="00F03739" w:rsidRPr="00543AF2">
        <w:rPr>
          <w:color w:val="FF0000"/>
          <w:position w:val="-28"/>
          <w:highlight w:val="yellow"/>
        </w:rPr>
        <w:object w:dxaOrig="2158" w:dyaOrig="666" w14:anchorId="5360AB6D">
          <v:shape id="_x0000_i1026" type="#_x0000_t75" style="width:108pt;height:33.6pt" o:ole="">
            <v:imagedata r:id="rId15" o:title=""/>
          </v:shape>
          <o:OLEObject Type="Embed" ProgID="Equation.AxMath" ShapeID="_x0000_i1026" DrawAspect="Content" ObjectID="_1683931378" r:id="rId16"/>
        </w:object>
      </w:r>
      <w:r w:rsidR="00F03739" w:rsidRPr="00543AF2">
        <w:rPr>
          <w:rFonts w:hint="eastAsia"/>
          <w:color w:val="FF0000"/>
          <w:highlight w:val="yellow"/>
        </w:rPr>
        <w:t>，q阶移动平均过程定义为</w:t>
      </w:r>
      <w:r w:rsidR="00F03739" w:rsidRPr="00543AF2">
        <w:rPr>
          <w:color w:val="FF0000"/>
          <w:position w:val="-28"/>
          <w:highlight w:val="yellow"/>
        </w:rPr>
        <w:object w:dxaOrig="2112" w:dyaOrig="666" w14:anchorId="41F4B210">
          <v:shape id="_x0000_i1027" type="#_x0000_t75" style="width:105.6pt;height:33.6pt" o:ole="">
            <v:imagedata r:id="rId17" o:title=""/>
          </v:shape>
          <o:OLEObject Type="Embed" ProgID="Equation.AxMath" ShapeID="_x0000_i1027" DrawAspect="Content" ObjectID="_1683931379" r:id="rId18"/>
        </w:object>
      </w:r>
      <w:r w:rsidR="005F362D" w:rsidRPr="00543AF2">
        <w:rPr>
          <w:rFonts w:hint="eastAsia"/>
          <w:color w:val="FF0000"/>
          <w:highlight w:val="yellow"/>
        </w:rPr>
        <w:t>。</w:t>
      </w:r>
    </w:p>
    <w:p w14:paraId="10109F52" w14:textId="198133EE" w:rsidR="00407C1B" w:rsidRPr="00543AF2" w:rsidRDefault="005F362D" w:rsidP="007849B8">
      <w:pPr>
        <w:rPr>
          <w:color w:val="FF0000"/>
          <w:highlight w:val="yellow"/>
        </w:rPr>
      </w:pPr>
      <w:r w:rsidRPr="00543AF2">
        <w:rPr>
          <w:rFonts w:hint="eastAsia"/>
          <w:color w:val="FF0000"/>
          <w:highlight w:val="yellow"/>
        </w:rPr>
        <w:t>p、q</w:t>
      </w:r>
      <w:r w:rsidR="00E10538">
        <w:rPr>
          <w:rFonts w:hint="eastAsia"/>
          <w:color w:val="FF0000"/>
          <w:highlight w:val="yellow"/>
        </w:rPr>
        <w:t>需要</w:t>
      </w:r>
      <w:r w:rsidRPr="00543AF2">
        <w:rPr>
          <w:rFonts w:hint="eastAsia"/>
          <w:color w:val="FF0000"/>
          <w:highlight w:val="yellow"/>
        </w:rPr>
        <w:t>根据</w:t>
      </w:r>
      <w:r w:rsidR="00F03739" w:rsidRPr="00543AF2">
        <w:rPr>
          <w:rFonts w:hint="eastAsia"/>
          <w:color w:val="FF0000"/>
          <w:highlight w:val="yellow"/>
        </w:rPr>
        <w:t>一阶差分序列的</w:t>
      </w:r>
      <w:r w:rsidR="00856C08" w:rsidRPr="00543AF2">
        <w:rPr>
          <w:rFonts w:hint="eastAsia"/>
          <w:color w:val="FF0000"/>
          <w:highlight w:val="yellow"/>
        </w:rPr>
        <w:t>偏自相关函数PACF和</w:t>
      </w:r>
      <w:r w:rsidR="00F03739" w:rsidRPr="00543AF2">
        <w:rPr>
          <w:rFonts w:hint="eastAsia"/>
          <w:color w:val="FF0000"/>
          <w:highlight w:val="yellow"/>
        </w:rPr>
        <w:t>自相关函数</w:t>
      </w:r>
      <w:r w:rsidR="009C3365" w:rsidRPr="00543AF2">
        <w:rPr>
          <w:rFonts w:hint="eastAsia"/>
          <w:color w:val="FF0000"/>
          <w:highlight w:val="yellow"/>
        </w:rPr>
        <w:t>ACF</w:t>
      </w:r>
      <w:r w:rsidR="00F03739" w:rsidRPr="00543AF2">
        <w:rPr>
          <w:rFonts w:hint="eastAsia"/>
          <w:color w:val="FF0000"/>
          <w:highlight w:val="yellow"/>
        </w:rPr>
        <w:t>来确定。</w:t>
      </w:r>
      <w:r w:rsidR="00856C08" w:rsidRPr="00543AF2">
        <w:rPr>
          <w:rFonts w:hint="eastAsia"/>
          <w:color w:val="FF0000"/>
          <w:highlight w:val="yellow"/>
        </w:rPr>
        <w:t>p的选取应当使PACF在p阶后截尾，即落在置信区间内；q的选取应当使ACF在q阶后截尾。做出PACF和ACF图像，如下：</w:t>
      </w:r>
    </w:p>
    <w:p w14:paraId="0B9F5F0D" w14:textId="528EC1EE" w:rsidR="00856C08" w:rsidRPr="00543AF2" w:rsidRDefault="00856C08" w:rsidP="007849B8">
      <w:pPr>
        <w:rPr>
          <w:color w:val="FF0000"/>
          <w:highlight w:val="yellow"/>
        </w:rPr>
      </w:pPr>
      <w:r w:rsidRPr="00543AF2">
        <w:rPr>
          <w:rFonts w:hint="eastAsia"/>
          <w:color w:val="FF0000"/>
          <w:highlight w:val="yellow"/>
        </w:rPr>
        <w:t>PACF图像</w:t>
      </w:r>
    </w:p>
    <w:p w14:paraId="2D80E59B" w14:textId="1B55D915" w:rsidR="00856C08" w:rsidRPr="00543AF2" w:rsidRDefault="00856C08" w:rsidP="007849B8">
      <w:pPr>
        <w:rPr>
          <w:color w:val="FF0000"/>
          <w:highlight w:val="yellow"/>
        </w:rPr>
      </w:pPr>
      <w:r w:rsidRPr="00543AF2">
        <w:rPr>
          <w:rFonts w:hint="eastAsia"/>
          <w:color w:val="FF0000"/>
          <w:highlight w:val="yellow"/>
        </w:rPr>
        <w:t>ACF图像</w:t>
      </w:r>
    </w:p>
    <w:p w14:paraId="4775C8F7" w14:textId="294B054E" w:rsidR="00856C08" w:rsidRPr="00543AF2" w:rsidRDefault="000B7305" w:rsidP="007849B8">
      <w:pPr>
        <w:rPr>
          <w:color w:val="FF0000"/>
          <w:highlight w:val="yellow"/>
        </w:rPr>
      </w:pPr>
      <w:r>
        <w:rPr>
          <w:rFonts w:hint="eastAsia"/>
          <w:color w:val="FF0000"/>
          <w:highlight w:val="yellow"/>
        </w:rPr>
        <w:t>由图</w:t>
      </w:r>
      <w:r w:rsidR="00856C08" w:rsidRPr="00543AF2">
        <w:rPr>
          <w:rFonts w:hint="eastAsia"/>
          <w:color w:val="FF0000"/>
          <w:highlight w:val="yellow"/>
        </w:rPr>
        <w:t>可以初步判断p=xxxxx，q=xxxxxx。接着我们对ARIMA</w:t>
      </w:r>
      <w:r w:rsidR="00856C08" w:rsidRPr="00543AF2">
        <w:rPr>
          <w:color w:val="FF0000"/>
          <w:highlight w:val="yellow"/>
        </w:rPr>
        <w:t>(</w:t>
      </w:r>
      <w:r w:rsidR="00856C08" w:rsidRPr="00543AF2">
        <w:rPr>
          <w:rFonts w:hint="eastAsia"/>
          <w:color w:val="FF0000"/>
          <w:highlight w:val="yellow"/>
        </w:rPr>
        <w:t>x，x，x</w:t>
      </w:r>
      <w:r w:rsidR="00856C08" w:rsidRPr="00543AF2">
        <w:rPr>
          <w:color w:val="FF0000"/>
          <w:highlight w:val="yellow"/>
        </w:rPr>
        <w:t>)</w:t>
      </w:r>
      <w:r w:rsidR="00856C08" w:rsidRPr="00543AF2">
        <w:rPr>
          <w:rFonts w:hint="eastAsia"/>
          <w:color w:val="FF0000"/>
          <w:highlight w:val="yellow"/>
        </w:rPr>
        <w:t>模型进行统计性检验。</w:t>
      </w:r>
      <w:r w:rsidR="00856C08" w:rsidRPr="00543AF2">
        <w:rPr>
          <w:rFonts w:hint="eastAsia"/>
          <w:color w:val="FF0000"/>
          <w:highlight w:val="yellow"/>
        </w:rPr>
        <w:lastRenderedPageBreak/>
        <w:t>令原假设H0：</w:t>
      </w:r>
      <w:r w:rsidR="00543AF2" w:rsidRPr="00543AF2">
        <w:rPr>
          <w:rFonts w:hint="eastAsia"/>
          <w:color w:val="FF0000"/>
          <w:highlight w:val="yellow"/>
        </w:rPr>
        <w:t>并非所有系数都是显著的；备择假设H1：所有系数都是显著的。置信水平取5%。</w:t>
      </w:r>
    </w:p>
    <w:p w14:paraId="6A0A62C2" w14:textId="12FD687B" w:rsidR="00543AF2" w:rsidRDefault="00543AF2" w:rsidP="007849B8">
      <w:r w:rsidRPr="00543AF2">
        <w:rPr>
          <w:rFonts w:hint="eastAsia"/>
          <w:color w:val="FF0000"/>
          <w:highlight w:val="yellow"/>
        </w:rPr>
        <w:t>计算得到p=xxx</w:t>
      </w:r>
      <w:r w:rsidR="00530967">
        <w:rPr>
          <w:rFonts w:hint="eastAsia"/>
          <w:color w:val="FF0000"/>
          <w:highlight w:val="yellow"/>
        </w:rPr>
        <w:t>，因此拒绝原假设，</w:t>
      </w:r>
      <w:r w:rsidRPr="00543AF2">
        <w:rPr>
          <w:rFonts w:hint="eastAsia"/>
          <w:color w:val="FF0000"/>
          <w:highlight w:val="yellow"/>
        </w:rPr>
        <w:t>可以说在5%的置信水平下，所有系数显著，因此ARIMA</w:t>
      </w:r>
      <w:r w:rsidRPr="00543AF2">
        <w:rPr>
          <w:color w:val="FF0000"/>
          <w:highlight w:val="yellow"/>
        </w:rPr>
        <w:t>(x,x,x)</w:t>
      </w:r>
      <w:r w:rsidR="00E96D22">
        <w:rPr>
          <w:rFonts w:hint="eastAsia"/>
          <w:color w:val="FF0000"/>
          <w:highlight w:val="yellow"/>
        </w:rPr>
        <w:t>通过检验，</w:t>
      </w:r>
      <w:r w:rsidRPr="00543AF2">
        <w:rPr>
          <w:rFonts w:hint="eastAsia"/>
          <w:color w:val="FF0000"/>
          <w:highlight w:val="yellow"/>
        </w:rPr>
        <w:t>可以据此模型进行板块指数移动平均线的拟合及预测。</w:t>
      </w:r>
    </w:p>
    <w:p w14:paraId="5EC01DD4" w14:textId="0B45489A" w:rsidR="00543AF2" w:rsidRDefault="00543AF2" w:rsidP="007849B8"/>
    <w:p w14:paraId="7BFEF5B6" w14:textId="4AF9E538" w:rsidR="00543AF2" w:rsidRDefault="00336E10" w:rsidP="007849B8">
      <w:r>
        <w:rPr>
          <w:rFonts w:hint="eastAsia"/>
        </w:rPr>
        <w:t>5.2.2.</w:t>
      </w:r>
      <w:r>
        <w:t>2</w:t>
      </w:r>
      <w:r w:rsidR="00543AF2">
        <w:rPr>
          <w:rFonts w:hint="eastAsia"/>
        </w:rPr>
        <w:t>基于</w:t>
      </w:r>
      <w:r w:rsidR="00543AF2" w:rsidRPr="00FB452D">
        <w:rPr>
          <w:rFonts w:hint="eastAsia"/>
          <w:highlight w:val="yellow"/>
        </w:rPr>
        <w:t>A</w:t>
      </w:r>
      <w:r w:rsidR="00543AF2" w:rsidRPr="00FB452D">
        <w:rPr>
          <w:highlight w:val="yellow"/>
        </w:rPr>
        <w:t>RIMA(x,x,x)</w:t>
      </w:r>
      <w:r w:rsidR="00543AF2">
        <w:rPr>
          <w:rFonts w:hint="eastAsia"/>
        </w:rPr>
        <w:t>模型的预测及分析</w:t>
      </w:r>
    </w:p>
    <w:p w14:paraId="6FDB721A" w14:textId="55FFAD96" w:rsidR="006A787A" w:rsidRDefault="006A787A" w:rsidP="007849B8">
      <w:r>
        <w:rPr>
          <w:rFonts w:hint="eastAsia"/>
        </w:rPr>
        <w:t>(1</w:t>
      </w:r>
      <w:r>
        <w:t>)</w:t>
      </w:r>
      <w:r w:rsidRPr="008B7207">
        <w:rPr>
          <w:rFonts w:hint="eastAsia"/>
          <w:highlight w:val="yellow"/>
        </w:rPr>
        <w:t xml:space="preserve"> </w:t>
      </w:r>
      <w:r w:rsidRPr="00FB452D">
        <w:rPr>
          <w:rFonts w:hint="eastAsia"/>
          <w:highlight w:val="yellow"/>
        </w:rPr>
        <w:t>A</w:t>
      </w:r>
      <w:r w:rsidRPr="00FB452D">
        <w:rPr>
          <w:highlight w:val="yellow"/>
        </w:rPr>
        <w:t>RIMA(x,x,x)</w:t>
      </w:r>
      <w:r>
        <w:rPr>
          <w:rFonts w:hint="eastAsia"/>
        </w:rPr>
        <w:t>模型的预测结果</w:t>
      </w:r>
    </w:p>
    <w:p w14:paraId="4CB3374C" w14:textId="5D43A186" w:rsidR="006A787A" w:rsidRDefault="006A787A" w:rsidP="007849B8">
      <w:r>
        <w:rPr>
          <w:rFonts w:hint="eastAsia"/>
        </w:rPr>
        <w:t>基于建立好的ARIMA模型</w:t>
      </w:r>
      <w:r w:rsidR="00614F59">
        <w:rPr>
          <w:rFonts w:hint="eastAsia"/>
        </w:rPr>
        <w:t>，通过Python编程</w:t>
      </w:r>
      <w:r>
        <w:rPr>
          <w:rFonts w:hint="eastAsia"/>
        </w:rPr>
        <w:t>预测了2021年5月28日之后90个</w:t>
      </w:r>
      <w:r w:rsidR="00614F59">
        <w:rPr>
          <w:rFonts w:hint="eastAsia"/>
        </w:rPr>
        <w:t>交易</w:t>
      </w:r>
      <w:r>
        <w:rPr>
          <w:rFonts w:hint="eastAsia"/>
        </w:rPr>
        <w:t>日的光伏建筑一体化板块指数，由于数据数据过多，将完整数据置于附录中</w:t>
      </w:r>
      <w:r w:rsidR="006D13BD">
        <w:rPr>
          <w:rFonts w:hint="eastAsia"/>
        </w:rPr>
        <w:t>，正文中只显示题目要求预测的20个交易日的日移动平均线、3周的周移动平均线和2个月的月移动平均线</w:t>
      </w:r>
      <w:r>
        <w:rPr>
          <w:rFonts w:hint="eastAsia"/>
        </w:rPr>
        <w:t>。</w:t>
      </w:r>
    </w:p>
    <w:p w14:paraId="1795491D" w14:textId="7B8D28AD" w:rsidR="006A787A" w:rsidRPr="00B05921" w:rsidRDefault="00614F59" w:rsidP="007849B8">
      <w:pPr>
        <w:rPr>
          <w:highlight w:val="yellow"/>
        </w:rPr>
      </w:pPr>
      <w:r w:rsidRPr="00B05921">
        <w:rPr>
          <w:rFonts w:hint="eastAsia"/>
          <w:highlight w:val="yellow"/>
        </w:rPr>
        <w:t>通过excel计算20个交易日的5日、10日、20日移动平均线，结果如下：</w:t>
      </w:r>
    </w:p>
    <w:p w14:paraId="611969BD" w14:textId="5A396F5A" w:rsidR="00614F59" w:rsidRPr="00B05921" w:rsidRDefault="00614F59" w:rsidP="007849B8">
      <w:pPr>
        <w:rPr>
          <w:highlight w:val="yellow"/>
        </w:rPr>
      </w:pPr>
      <w:r w:rsidRPr="00B05921">
        <w:rPr>
          <w:rFonts w:hint="eastAsia"/>
          <w:highlight w:val="yellow"/>
        </w:rPr>
        <w:t>20个交易日的5日移动平均线</w:t>
      </w:r>
      <w:r w:rsidR="006D13BD" w:rsidRPr="00B05921">
        <w:rPr>
          <w:rFonts w:hint="eastAsia"/>
          <w:highlight w:val="yellow"/>
        </w:rPr>
        <w:t>表格</w:t>
      </w:r>
      <w:r w:rsidR="00693776" w:rsidRPr="00B05921">
        <w:rPr>
          <w:rFonts w:hint="eastAsia"/>
          <w:highlight w:val="yellow"/>
        </w:rPr>
        <w:t>/曲线</w:t>
      </w:r>
    </w:p>
    <w:p w14:paraId="49A46964" w14:textId="46DAFD6F" w:rsidR="00614F59" w:rsidRPr="00B05921" w:rsidRDefault="006D13BD" w:rsidP="007849B8">
      <w:pPr>
        <w:rPr>
          <w:highlight w:val="yellow"/>
        </w:rPr>
      </w:pPr>
      <w:r w:rsidRPr="00B05921">
        <w:rPr>
          <w:rFonts w:hint="eastAsia"/>
          <w:highlight w:val="yellow"/>
        </w:rPr>
        <w:t>10日表格</w:t>
      </w:r>
      <w:r w:rsidR="00693776" w:rsidRPr="00B05921">
        <w:rPr>
          <w:rFonts w:hint="eastAsia"/>
          <w:highlight w:val="yellow"/>
        </w:rPr>
        <w:t>/曲线</w:t>
      </w:r>
    </w:p>
    <w:p w14:paraId="4C139D9A" w14:textId="51B03BC2" w:rsidR="006D13BD" w:rsidRPr="00B05921" w:rsidRDefault="006D13BD" w:rsidP="007849B8">
      <w:pPr>
        <w:rPr>
          <w:highlight w:val="yellow"/>
        </w:rPr>
      </w:pPr>
      <w:r w:rsidRPr="00B05921">
        <w:rPr>
          <w:rFonts w:hint="eastAsia"/>
          <w:highlight w:val="yellow"/>
        </w:rPr>
        <w:t>20日表格</w:t>
      </w:r>
      <w:r w:rsidR="00693776" w:rsidRPr="00B05921">
        <w:rPr>
          <w:rFonts w:hint="eastAsia"/>
          <w:highlight w:val="yellow"/>
        </w:rPr>
        <w:t>/曲线</w:t>
      </w:r>
    </w:p>
    <w:p w14:paraId="5F45A40B" w14:textId="14990761" w:rsidR="006D13BD" w:rsidRPr="00B05921" w:rsidRDefault="00693776" w:rsidP="007849B8">
      <w:pPr>
        <w:rPr>
          <w:highlight w:val="yellow"/>
        </w:rPr>
      </w:pPr>
      <w:r w:rsidRPr="00B05921">
        <w:rPr>
          <w:rFonts w:hint="eastAsia"/>
          <w:highlight w:val="yellow"/>
        </w:rPr>
        <w:t>预测3周的周移动平均线，结果如下：</w:t>
      </w:r>
    </w:p>
    <w:p w14:paraId="7A3E0F39" w14:textId="39DAFC90" w:rsidR="00693776" w:rsidRPr="00B05921" w:rsidRDefault="00693776" w:rsidP="007849B8">
      <w:pPr>
        <w:rPr>
          <w:highlight w:val="yellow"/>
        </w:rPr>
      </w:pPr>
    </w:p>
    <w:p w14:paraId="2117E7B9" w14:textId="19863FF4" w:rsidR="00693776" w:rsidRDefault="00693776" w:rsidP="007849B8">
      <w:r w:rsidRPr="00B05921">
        <w:rPr>
          <w:rFonts w:hint="eastAsia"/>
          <w:highlight w:val="yellow"/>
        </w:rPr>
        <w:t>预测2个月的月移动平均线，结果如下：</w:t>
      </w:r>
    </w:p>
    <w:p w14:paraId="0ED021D0" w14:textId="77777777" w:rsidR="006A787A" w:rsidRDefault="006A787A" w:rsidP="007849B8"/>
    <w:p w14:paraId="44560C77" w14:textId="79185A16" w:rsidR="008B7207" w:rsidRDefault="008B7207" w:rsidP="007849B8">
      <w:r>
        <w:rPr>
          <w:rFonts w:hint="eastAsia"/>
        </w:rPr>
        <w:t>(</w:t>
      </w:r>
      <w:r w:rsidR="006A787A">
        <w:rPr>
          <w:rFonts w:hint="eastAsia"/>
        </w:rPr>
        <w:t>2</w:t>
      </w:r>
      <w:r>
        <w:t>)</w:t>
      </w:r>
      <w:r>
        <w:rPr>
          <w:rFonts w:hint="eastAsia"/>
        </w:rPr>
        <w:t>拟合效果的检验</w:t>
      </w:r>
    </w:p>
    <w:p w14:paraId="1401EA4F" w14:textId="450F45DE" w:rsidR="00D243D0" w:rsidRDefault="00543AF2" w:rsidP="007849B8">
      <w:r>
        <w:rPr>
          <w:rFonts w:hint="eastAsia"/>
        </w:rPr>
        <w:t>选取2020年1月30日</w:t>
      </w:r>
      <w:r w:rsidR="000F7AAF">
        <w:rPr>
          <w:rFonts w:hint="eastAsia"/>
        </w:rPr>
        <w:t>到2021年4月30日的板块指数</w:t>
      </w:r>
      <w:r w:rsidR="00FB452D">
        <w:rPr>
          <w:rFonts w:hint="eastAsia"/>
        </w:rPr>
        <w:t>进行拟合</w:t>
      </w:r>
      <w:r w:rsidR="00617163">
        <w:rPr>
          <w:rFonts w:hint="eastAsia"/>
        </w:rPr>
        <w:t>，</w:t>
      </w:r>
      <w:r w:rsidR="00D243D0">
        <w:rPr>
          <w:rFonts w:hint="eastAsia"/>
        </w:rPr>
        <w:t>拟合曲线如下：</w:t>
      </w:r>
    </w:p>
    <w:p w14:paraId="4E2C5B77" w14:textId="04A4E4CF" w:rsidR="00D243D0" w:rsidRDefault="00D243D0" w:rsidP="007849B8">
      <w:r w:rsidRPr="00D243D0">
        <w:rPr>
          <w:rFonts w:hint="eastAsia"/>
          <w:highlight w:val="yellow"/>
        </w:rPr>
        <w:t>训练数据拟合图</w:t>
      </w:r>
    </w:p>
    <w:p w14:paraId="2D7BDABD" w14:textId="60FC2F29" w:rsidR="00543AF2" w:rsidRDefault="00617163" w:rsidP="007849B8">
      <w:r>
        <w:rPr>
          <w:rFonts w:hint="eastAsia"/>
        </w:rPr>
        <w:t>并用2021年</w:t>
      </w:r>
      <w:r w:rsidR="00D243D0">
        <w:rPr>
          <w:rFonts w:hint="eastAsia"/>
        </w:rPr>
        <w:t>5月6日到2021年5月28日的数据作为测试数据分析</w:t>
      </w:r>
      <w:r w:rsidR="00D243D0" w:rsidRPr="00FB452D">
        <w:rPr>
          <w:rFonts w:hint="eastAsia"/>
          <w:highlight w:val="yellow"/>
        </w:rPr>
        <w:t>A</w:t>
      </w:r>
      <w:r w:rsidR="00D243D0" w:rsidRPr="00FB452D">
        <w:rPr>
          <w:highlight w:val="yellow"/>
        </w:rPr>
        <w:t>RIMA(x,x,x)</w:t>
      </w:r>
      <w:r w:rsidR="006A787A">
        <w:rPr>
          <w:rFonts w:hint="eastAsia"/>
        </w:rPr>
        <w:t>模型的拟合效果</w:t>
      </w:r>
      <w:r w:rsidR="00D243D0">
        <w:rPr>
          <w:rFonts w:hint="eastAsia"/>
        </w:rPr>
        <w:t>。</w:t>
      </w:r>
    </w:p>
    <w:p w14:paraId="1760A04F" w14:textId="03521CE8" w:rsidR="009D1490" w:rsidRDefault="00D243D0" w:rsidP="007849B8">
      <w:r w:rsidRPr="00F56E72">
        <w:rPr>
          <w:rFonts w:hint="eastAsia"/>
          <w:highlight w:val="yellow"/>
        </w:rPr>
        <w:t>测试数据拟合图</w:t>
      </w:r>
    </w:p>
    <w:p w14:paraId="002BA27D" w14:textId="36B7DDE2" w:rsidR="00F56E72" w:rsidRDefault="00F56E72" w:rsidP="007849B8">
      <w:r>
        <w:rPr>
          <w:rFonts w:hint="eastAsia"/>
          <w:highlight w:val="yellow"/>
        </w:rPr>
        <w:t>测试数据预测值与真实值表格</w:t>
      </w:r>
    </w:p>
    <w:p w14:paraId="30EA14D6" w14:textId="45AA24D7" w:rsidR="00D243D0" w:rsidRDefault="00F47CC1" w:rsidP="007849B8">
      <w:r>
        <w:rPr>
          <w:rFonts w:hint="eastAsia"/>
        </w:rPr>
        <w:t>对</w:t>
      </w:r>
      <w:r w:rsidR="00F56E72">
        <w:rPr>
          <w:rFonts w:hint="eastAsia"/>
        </w:rPr>
        <w:t>上述</w:t>
      </w:r>
      <w:r>
        <w:rPr>
          <w:rFonts w:hint="eastAsia"/>
        </w:rPr>
        <w:t>测试数据</w:t>
      </w:r>
      <w:r w:rsidR="00BB5D16">
        <w:rPr>
          <w:rFonts w:hint="eastAsia"/>
        </w:rPr>
        <w:t>进行</w:t>
      </w:r>
      <w:r>
        <w:rPr>
          <w:rFonts w:hint="eastAsia"/>
        </w:rPr>
        <w:t>均方误差的计算，均方误差计算公式为：</w:t>
      </w:r>
    </w:p>
    <w:p w14:paraId="724EAB5A" w14:textId="3E5764FD" w:rsidR="00F47CC1" w:rsidRDefault="00F47CC1" w:rsidP="00F47CC1">
      <w:pPr>
        <w:pStyle w:val="AMDisplayEquation"/>
      </w:pPr>
      <w:r>
        <w:tab/>
      </w:r>
      <w:r w:rsidRPr="00F47CC1">
        <w:rPr>
          <w:position w:val="-28"/>
        </w:rPr>
        <w:object w:dxaOrig="2416" w:dyaOrig="666" w14:anchorId="789EE61F">
          <v:shape id="_x0000_i1028" type="#_x0000_t75" style="width:120.6pt;height:33.6pt" o:ole="">
            <v:imagedata r:id="rId13" o:title=""/>
          </v:shape>
          <o:OLEObject Type="Embed" ProgID="Equation.AxMath" ShapeID="_x0000_i1028" DrawAspect="Content" ObjectID="_1683931380" r:id="rId19"/>
        </w:object>
      </w:r>
    </w:p>
    <w:p w14:paraId="19286923" w14:textId="5D1E38A1" w:rsidR="008B7207" w:rsidRDefault="00F47CC1" w:rsidP="007849B8">
      <w:r>
        <w:rPr>
          <w:rFonts w:hint="eastAsia"/>
        </w:rPr>
        <w:t>通过Python编程计算，得到基于</w:t>
      </w:r>
      <w:r w:rsidRPr="00FB452D">
        <w:rPr>
          <w:rFonts w:hint="eastAsia"/>
          <w:highlight w:val="yellow"/>
        </w:rPr>
        <w:t>A</w:t>
      </w:r>
      <w:r w:rsidRPr="00FB452D">
        <w:rPr>
          <w:highlight w:val="yellow"/>
        </w:rPr>
        <w:t>RIMA(x,x,x)</w:t>
      </w:r>
      <w:r>
        <w:rPr>
          <w:rFonts w:hint="eastAsia"/>
        </w:rPr>
        <w:t>模型拟合的均方误差为xxx。</w:t>
      </w:r>
      <w:r w:rsidR="00B661AB" w:rsidRPr="00B661AB">
        <w:rPr>
          <w:rFonts w:hint="eastAsia"/>
          <w:highlight w:val="yellow"/>
        </w:rPr>
        <w:t>通过观察</w:t>
      </w:r>
      <w:r w:rsidRPr="00B661AB">
        <w:rPr>
          <w:rFonts w:hint="eastAsia"/>
          <w:highlight w:val="yellow"/>
        </w:rPr>
        <w:t>拟合曲线以及</w:t>
      </w:r>
      <w:r w:rsidR="00B661AB" w:rsidRPr="00B661AB">
        <w:rPr>
          <w:rFonts w:hint="eastAsia"/>
          <w:highlight w:val="yellow"/>
        </w:rPr>
        <w:t>对均方误差的分析可以看出，</w:t>
      </w:r>
      <w:r w:rsidR="00B661AB">
        <w:rPr>
          <w:rFonts w:hint="eastAsia"/>
          <w:highlight w:val="yellow"/>
        </w:rPr>
        <w:t>采用</w:t>
      </w:r>
      <w:r w:rsidR="00B661AB" w:rsidRPr="00B661AB">
        <w:rPr>
          <w:rFonts w:hint="eastAsia"/>
          <w:highlight w:val="yellow"/>
        </w:rPr>
        <w:t>A</w:t>
      </w:r>
      <w:r w:rsidR="00B661AB" w:rsidRPr="00B661AB">
        <w:rPr>
          <w:highlight w:val="yellow"/>
        </w:rPr>
        <w:t>RIMA(x,x,x)</w:t>
      </w:r>
      <w:r w:rsidR="00B661AB" w:rsidRPr="00B661AB">
        <w:rPr>
          <w:rFonts w:hint="eastAsia"/>
          <w:highlight w:val="yellow"/>
        </w:rPr>
        <w:t>模型</w:t>
      </w:r>
      <w:r w:rsidR="00B661AB">
        <w:rPr>
          <w:rFonts w:hint="eastAsia"/>
          <w:highlight w:val="yellow"/>
        </w:rPr>
        <w:t>，其预测值与实际值差距较大，该模型的均方误差达到了xxx</w:t>
      </w:r>
      <w:r w:rsidR="00F56E72">
        <w:rPr>
          <w:rFonts w:hint="eastAsia"/>
          <w:highlight w:val="yellow"/>
        </w:rPr>
        <w:t>。因此</w:t>
      </w:r>
      <w:r w:rsidR="00D83B17">
        <w:rPr>
          <w:rFonts w:hint="eastAsia"/>
          <w:highlight w:val="yellow"/>
        </w:rPr>
        <w:t>基于此模型的预测值</w:t>
      </w:r>
      <w:r w:rsidR="006D13BD">
        <w:rPr>
          <w:rFonts w:hint="eastAsia"/>
          <w:highlight w:val="yellow"/>
        </w:rPr>
        <w:t>与真实值会存在</w:t>
      </w:r>
      <w:r w:rsidR="00D83B17">
        <w:rPr>
          <w:rFonts w:hint="eastAsia"/>
          <w:highlight w:val="yellow"/>
        </w:rPr>
        <w:t>较大误差。</w:t>
      </w:r>
    </w:p>
    <w:p w14:paraId="2E0953FA" w14:textId="77777777" w:rsidR="008B7207" w:rsidRDefault="008B7207" w:rsidP="007849B8"/>
    <w:p w14:paraId="48171C62" w14:textId="1579D0EA" w:rsidR="00BD7D21" w:rsidRDefault="00543AF2" w:rsidP="007849B8">
      <w:r>
        <w:rPr>
          <w:rFonts w:hint="eastAsia"/>
        </w:rPr>
        <w:t>5.</w:t>
      </w:r>
      <w:r w:rsidR="000F7AAF">
        <w:rPr>
          <w:rFonts w:hint="eastAsia"/>
        </w:rPr>
        <w:t>2.</w:t>
      </w:r>
      <w:r>
        <w:rPr>
          <w:rFonts w:hint="eastAsia"/>
        </w:rPr>
        <w:t>3综合采用循环神经网络与A</w:t>
      </w:r>
      <w:r>
        <w:t>RIMA(x,x,x)</w:t>
      </w:r>
      <w:r>
        <w:rPr>
          <w:rFonts w:hint="eastAsia"/>
        </w:rPr>
        <w:t>模型的数据预测及分析</w:t>
      </w:r>
    </w:p>
    <w:p w14:paraId="25131F11" w14:textId="4EE52E07" w:rsidR="00543AF2" w:rsidRDefault="008B7207" w:rsidP="007849B8">
      <w:r>
        <w:rPr>
          <w:rFonts w:hint="eastAsia"/>
        </w:rPr>
        <w:t>在5.2.1和5.2.2中分别使用了循环神经网络和ARIMA模型对2021年5月28日之后的板块指数进行了预测，</w:t>
      </w:r>
      <w:r w:rsidR="00170CF1">
        <w:rPr>
          <w:rFonts w:hint="eastAsia"/>
        </w:rPr>
        <w:t>分析结果发现每种单独模型的预测结果均存在较大的均方误差，因此，本文创新性的综合了循环神经网络模型与ARIMA模型，将两种模型的预测结果取平均值，以减小预测的均方误差，提高拟合效果。</w:t>
      </w:r>
    </w:p>
    <w:p w14:paraId="492397F6" w14:textId="08F8B00C" w:rsidR="00170CF1" w:rsidRDefault="00170CF1" w:rsidP="007849B8">
      <w:r>
        <w:rPr>
          <w:rFonts w:hint="eastAsia"/>
        </w:rPr>
        <w:t>(</w:t>
      </w:r>
      <w:r>
        <w:t>1)</w:t>
      </w:r>
      <w:r>
        <w:rPr>
          <w:rFonts w:hint="eastAsia"/>
        </w:rPr>
        <w:t>综合使用两种模型的预测结果</w:t>
      </w:r>
    </w:p>
    <w:p w14:paraId="47866BA4" w14:textId="2F1B7A2A" w:rsidR="00170CF1" w:rsidRPr="00FA2C6F" w:rsidRDefault="00FA2C6F" w:rsidP="007849B8">
      <w:pPr>
        <w:rPr>
          <w:highlight w:val="yellow"/>
        </w:rPr>
      </w:pPr>
      <w:r w:rsidRPr="00FA2C6F">
        <w:rPr>
          <w:rFonts w:hint="eastAsia"/>
          <w:highlight w:val="yellow"/>
        </w:rPr>
        <w:t>日移动平均线</w:t>
      </w:r>
    </w:p>
    <w:p w14:paraId="4C2A638A" w14:textId="3CB66A17" w:rsidR="00FA2C6F" w:rsidRPr="00FA2C6F" w:rsidRDefault="00FA2C6F" w:rsidP="007849B8">
      <w:pPr>
        <w:rPr>
          <w:highlight w:val="yellow"/>
        </w:rPr>
      </w:pPr>
      <w:r w:rsidRPr="00FA2C6F">
        <w:rPr>
          <w:rFonts w:hint="eastAsia"/>
          <w:highlight w:val="yellow"/>
        </w:rPr>
        <w:t>周移动平均线</w:t>
      </w:r>
    </w:p>
    <w:p w14:paraId="3D10C25B" w14:textId="4B4E453F" w:rsidR="00FA2C6F" w:rsidRDefault="00FA2C6F" w:rsidP="007849B8">
      <w:r w:rsidRPr="00FA2C6F">
        <w:rPr>
          <w:rFonts w:hint="eastAsia"/>
          <w:highlight w:val="yellow"/>
        </w:rPr>
        <w:t>月移动平均线</w:t>
      </w:r>
    </w:p>
    <w:p w14:paraId="3E363005" w14:textId="484D005D" w:rsidR="00170CF1" w:rsidRDefault="00170CF1" w:rsidP="007849B8">
      <w:r>
        <w:rPr>
          <w:rFonts w:hint="eastAsia"/>
        </w:rPr>
        <w:t>(</w:t>
      </w:r>
      <w:r>
        <w:t>2)</w:t>
      </w:r>
      <w:r w:rsidR="00FA2C6F">
        <w:rPr>
          <w:rFonts w:hint="eastAsia"/>
        </w:rPr>
        <w:t>与使用单一模型的对比</w:t>
      </w:r>
    </w:p>
    <w:p w14:paraId="4D13D311" w14:textId="77777777" w:rsidR="00FA2C6F" w:rsidRDefault="00FA2C6F" w:rsidP="007849B8"/>
    <w:p w14:paraId="24808C17" w14:textId="728B0F04" w:rsidR="003E2CC4" w:rsidRDefault="003E2CC4" w:rsidP="007849B8"/>
    <w:p w14:paraId="77A515D7" w14:textId="77777777" w:rsidR="006D1D72" w:rsidRDefault="006D1D72" w:rsidP="006D1D72">
      <w:r>
        <w:rPr>
          <w:rFonts w:hint="eastAsia"/>
        </w:rPr>
        <w:t>5.3问题三模型的建立与求解</w:t>
      </w:r>
    </w:p>
    <w:p w14:paraId="1343D138" w14:textId="77777777" w:rsidR="006D1D72" w:rsidRDefault="006D1D72" w:rsidP="006D1D72">
      <w:r>
        <w:rPr>
          <w:rFonts w:hint="eastAsia"/>
        </w:rPr>
        <w:t>5.3.1计算皮尔逊相关系数的前提条件</w:t>
      </w:r>
    </w:p>
    <w:p w14:paraId="2BBE0B6A" w14:textId="77777777" w:rsidR="006D1D72" w:rsidRDefault="006D1D72" w:rsidP="006D1D72">
      <w:r>
        <w:rPr>
          <w:rFonts w:hint="eastAsia"/>
        </w:rPr>
        <w:t>(</w:t>
      </w:r>
      <w:r>
        <w:t>1)</w:t>
      </w:r>
      <w:r>
        <w:rPr>
          <w:rFonts w:hint="eastAsia"/>
        </w:rPr>
        <w:t>初步判断是否满足线性相关</w:t>
      </w:r>
    </w:p>
    <w:p w14:paraId="34C8B295" w14:textId="77777777" w:rsidR="006D1D72" w:rsidRDefault="006D1D72" w:rsidP="006D1D72">
      <w:r>
        <w:rPr>
          <w:rFonts w:hint="eastAsia"/>
        </w:rPr>
        <w:t>以上证指数为横坐标，光伏建筑一体化板块指数为横坐标，做出该时间范围内两者的散点图，初步判断上证指数与板块指数的相关性。其散点图如下：</w:t>
      </w:r>
    </w:p>
    <w:p w14:paraId="1277C623" w14:textId="77777777" w:rsidR="006D1D72" w:rsidRDefault="006D1D72" w:rsidP="006D1D72">
      <w:r w:rsidRPr="00B64435">
        <w:rPr>
          <w:noProof/>
        </w:rPr>
        <w:drawing>
          <wp:inline distT="0" distB="0" distL="0" distR="0" wp14:anchorId="3793D2B7" wp14:editId="3D077918">
            <wp:extent cx="5274310" cy="395384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3846"/>
                    </a:xfrm>
                    <a:prstGeom prst="rect">
                      <a:avLst/>
                    </a:prstGeom>
                    <a:noFill/>
                    <a:ln>
                      <a:noFill/>
                    </a:ln>
                  </pic:spPr>
                </pic:pic>
              </a:graphicData>
            </a:graphic>
          </wp:inline>
        </w:drawing>
      </w:r>
    </w:p>
    <w:p w14:paraId="17F8F58C" w14:textId="77777777" w:rsidR="006D1D72" w:rsidRDefault="006D1D72" w:rsidP="006D1D72">
      <w:r>
        <w:rPr>
          <w:rFonts w:hint="eastAsia"/>
        </w:rPr>
        <w:t>基于对散点图的判断，上证指数与板块指数近似满足线性相关，因此，初步判断可以采用皮尔逊相关系数来分析两者的线性相关性。</w:t>
      </w:r>
    </w:p>
    <w:p w14:paraId="44F0C49D" w14:textId="77777777" w:rsidR="006D1D72" w:rsidRDefault="006D1D72" w:rsidP="006D1D72">
      <w:r>
        <w:rPr>
          <w:rFonts w:hint="eastAsia"/>
        </w:rPr>
        <w:t>(</w:t>
      </w:r>
      <w:r>
        <w:t>2)</w:t>
      </w:r>
      <w:r>
        <w:rPr>
          <w:rFonts w:hint="eastAsia"/>
        </w:rPr>
        <w:t>上证指数与板块指数的正态分布检验</w:t>
      </w:r>
    </w:p>
    <w:p w14:paraId="63B3A32F" w14:textId="77777777" w:rsidR="006D1D72" w:rsidRDefault="006D1D72" w:rsidP="006D1D72">
      <w:r>
        <w:rPr>
          <w:rFonts w:hint="eastAsia"/>
        </w:rPr>
        <w:t>在求解出皮尔逊相关系数之后，还应当采用t检验的方法对相关系数进行统计性检验，以判断该相关系数是否显著异于0，而t检验的检验统计量如下式：</w:t>
      </w:r>
    </w:p>
    <w:p w14:paraId="7D882E58" w14:textId="77777777" w:rsidR="006D1D72" w:rsidRDefault="006D1D72" w:rsidP="006D1D72">
      <w:pPr>
        <w:pStyle w:val="AMDisplayEquation"/>
      </w:pPr>
      <w:r>
        <w:tab/>
      </w:r>
      <w:r w:rsidRPr="00233E83">
        <w:rPr>
          <w:position w:val="-24"/>
        </w:rPr>
        <w:object w:dxaOrig="1289" w:dyaOrig="624" w14:anchorId="0B3D7636">
          <v:shape id="_x0000_i1029" type="#_x0000_t75" style="width:64.2pt;height:31.2pt" o:ole="">
            <v:imagedata r:id="rId21" o:title=""/>
          </v:shape>
          <o:OLEObject Type="Embed" ProgID="Equation.AxMath" ShapeID="_x0000_i1029" DrawAspect="Content" ObjectID="_1683931381" r:id="rId22"/>
        </w:object>
      </w:r>
    </w:p>
    <w:p w14:paraId="6C66D1DD" w14:textId="77777777" w:rsidR="006D1D72" w:rsidRDefault="006D1D72" w:rsidP="006D1D72">
      <w:r>
        <w:rPr>
          <w:rFonts w:hint="eastAsia"/>
        </w:rPr>
        <w:t>t检验构造的这一检验统计量是基于数据样本呈正态分布的假设进行的，因此，采用雅克-贝拉检验对上证指数与板块指数进行正态分布检验。</w:t>
      </w:r>
    </w:p>
    <w:p w14:paraId="3F8DFAB4" w14:textId="77777777" w:rsidR="006D1D72" w:rsidRDefault="006D1D72" w:rsidP="006D1D72">
      <w:r>
        <w:rPr>
          <w:rFonts w:hint="eastAsia"/>
        </w:rPr>
        <w:t>雅克-贝拉检验的基本原理是，对于变量上证指数和板块指数，假设其偏度为</w:t>
      </w:r>
      <w:r w:rsidRPr="00D3678B">
        <w:rPr>
          <w:position w:val="-10"/>
        </w:rPr>
        <w:object w:dxaOrig="185" w:dyaOrig="312" w14:anchorId="4FEC9EC1">
          <v:shape id="_x0000_i1030" type="#_x0000_t75" style="width:9pt;height:15.6pt" o:ole="">
            <v:imagedata r:id="rId23" o:title=""/>
          </v:shape>
          <o:OLEObject Type="Embed" ProgID="Equation.AxMath" ShapeID="_x0000_i1030" DrawAspect="Content" ObjectID="_1683931382" r:id="rId24"/>
        </w:object>
      </w:r>
      <w:r>
        <w:rPr>
          <w:rFonts w:hint="eastAsia"/>
        </w:rPr>
        <w:t>，峰度为</w:t>
      </w:r>
      <w:r w:rsidRPr="00D3678B">
        <w:rPr>
          <w:position w:val="-10"/>
        </w:rPr>
        <w:object w:dxaOrig="237" w:dyaOrig="312" w14:anchorId="4393213D">
          <v:shape id="_x0000_i1031" type="#_x0000_t75" style="width:12pt;height:15.6pt" o:ole="">
            <v:imagedata r:id="rId25" o:title=""/>
          </v:shape>
          <o:OLEObject Type="Embed" ProgID="Equation.AxMath" ShapeID="_x0000_i1031" DrawAspect="Content" ObjectID="_1683931383" r:id="rId26"/>
        </w:object>
      </w:r>
      <w:r>
        <w:rPr>
          <w:rFonts w:hint="eastAsia"/>
        </w:rPr>
        <w:t>，构造</w:t>
      </w:r>
      <w:r w:rsidRPr="00D3678B">
        <w:rPr>
          <w:position w:val="-10"/>
        </w:rPr>
        <w:object w:dxaOrig="317" w:dyaOrig="312" w14:anchorId="7E6EF3CD">
          <v:shape id="_x0000_i1032" type="#_x0000_t75" style="width:15.6pt;height:15.6pt" o:ole="">
            <v:imagedata r:id="rId27" o:title=""/>
          </v:shape>
          <o:OLEObject Type="Embed" ProgID="Equation.AxMath" ShapeID="_x0000_i1032" DrawAspect="Content" ObjectID="_1683931384" r:id="rId28"/>
        </w:object>
      </w:r>
      <w:r>
        <w:rPr>
          <w:rFonts w:hint="eastAsia"/>
        </w:rPr>
        <w:t>统计量：</w:t>
      </w:r>
      <w:r w:rsidRPr="00D3678B">
        <w:rPr>
          <w:position w:val="-26"/>
        </w:rPr>
        <w:object w:dxaOrig="2364" w:dyaOrig="632" w14:anchorId="018C0D17">
          <v:shape id="_x0000_i1033" type="#_x0000_t75" style="width:118.2pt;height:31.8pt" o:ole="">
            <v:imagedata r:id="rId29" o:title=""/>
          </v:shape>
          <o:OLEObject Type="Embed" ProgID="Equation.AxMath" ShapeID="_x0000_i1033" DrawAspect="Content" ObjectID="_1683931385" r:id="rId30"/>
        </w:object>
      </w:r>
      <w:r>
        <w:rPr>
          <w:rFonts w:hint="eastAsia"/>
        </w:rPr>
        <w:t>。当变量服从正态分布时，在大样本的情况下检验统计量</w:t>
      </w:r>
      <w:r w:rsidRPr="00D3678B">
        <w:rPr>
          <w:position w:val="-10"/>
        </w:rPr>
        <w:object w:dxaOrig="317" w:dyaOrig="312" w14:anchorId="74DEEA84">
          <v:shape id="_x0000_i1034" type="#_x0000_t75" style="width:15.6pt;height:15.6pt" o:ole="">
            <v:imagedata r:id="rId27" o:title=""/>
          </v:shape>
          <o:OLEObject Type="Embed" ProgID="Equation.AxMath" ShapeID="_x0000_i1034" DrawAspect="Content" ObjectID="_1683931386" r:id="rId31"/>
        </w:object>
      </w:r>
      <w:r>
        <w:t>服从自由度为2的</w:t>
      </w:r>
      <w:r>
        <w:rPr>
          <w:rFonts w:hint="eastAsia"/>
        </w:rPr>
        <w:t>卡方分布，</w:t>
      </w:r>
      <w:r>
        <w:t>即</w:t>
      </w:r>
      <w:r w:rsidRPr="003B4AF7">
        <w:rPr>
          <w:position w:val="-11"/>
        </w:rPr>
        <w:object w:dxaOrig="962" w:dyaOrig="325" w14:anchorId="26D7CEE1">
          <v:shape id="_x0000_i1035" type="#_x0000_t75" style="width:48pt;height:16.2pt" o:ole="">
            <v:imagedata r:id="rId32" o:title=""/>
          </v:shape>
          <o:OLEObject Type="Embed" ProgID="Equation.AxMath" ShapeID="_x0000_i1035" DrawAspect="Content" ObjectID="_1683931387" r:id="rId33"/>
        </w:object>
      </w:r>
      <w:r>
        <w:rPr>
          <w:rFonts w:hint="eastAsia"/>
        </w:rPr>
        <w:t>。</w:t>
      </w:r>
    </w:p>
    <w:p w14:paraId="44D7A920" w14:textId="77777777" w:rsidR="006D1D72" w:rsidRDefault="006D1D72" w:rsidP="006D1D72">
      <w:r>
        <w:rPr>
          <w:rFonts w:hint="eastAsia"/>
        </w:rPr>
        <w:t>本文采用Matlab中的</w:t>
      </w:r>
      <w:r w:rsidRPr="003B4AF7">
        <w:rPr>
          <w:position w:val="-10"/>
        </w:rPr>
        <w:object w:dxaOrig="574" w:dyaOrig="312" w14:anchorId="40285598">
          <v:shape id="_x0000_i1036" type="#_x0000_t75" style="width:28.8pt;height:15.6pt" o:ole="">
            <v:imagedata r:id="rId34" o:title=""/>
          </v:shape>
          <o:OLEObject Type="Embed" ProgID="Equation.AxMath" ShapeID="_x0000_i1036" DrawAspect="Content" ObjectID="_1683931388" r:id="rId35"/>
        </w:object>
      </w:r>
      <w:r>
        <w:rPr>
          <w:rFonts w:hint="eastAsia"/>
        </w:rPr>
        <w:t>函数对上证指数与板块指数进行检验。设置显著性水平为0.01，</w:t>
      </w:r>
      <w:r w:rsidRPr="003B4AF7">
        <w:rPr>
          <w:position w:val="-10"/>
        </w:rPr>
        <w:object w:dxaOrig="574" w:dyaOrig="312" w14:anchorId="66688979">
          <v:shape id="_x0000_i1037" type="#_x0000_t75" style="width:28.8pt;height:15.6pt" o:ole="">
            <v:imagedata r:id="rId34" o:title=""/>
          </v:shape>
          <o:OLEObject Type="Embed" ProgID="Equation.AxMath" ShapeID="_x0000_i1037" DrawAspect="Content" ObjectID="_1683931389" r:id="rId36"/>
        </w:object>
      </w:r>
      <w:r>
        <w:rPr>
          <w:rFonts w:hint="eastAsia"/>
        </w:rPr>
        <w:t>包含两个返回值h、p，当</w:t>
      </w:r>
      <w:r w:rsidRPr="003B4AF7">
        <w:rPr>
          <w:position w:val="-10"/>
        </w:rPr>
        <w:object w:dxaOrig="531" w:dyaOrig="312" w14:anchorId="536EDE51">
          <v:shape id="_x0000_i1038" type="#_x0000_t75" style="width:26.4pt;height:15.6pt" o:ole="">
            <v:imagedata r:id="rId37" o:title=""/>
          </v:shape>
          <o:OLEObject Type="Embed" ProgID="Equation.AxMath" ShapeID="_x0000_i1038" DrawAspect="Content" ObjectID="_1683931390" r:id="rId38"/>
        </w:object>
      </w:r>
      <w:r>
        <w:rPr>
          <w:rFonts w:hint="eastAsia"/>
        </w:rPr>
        <w:t>，</w:t>
      </w:r>
      <w:r w:rsidRPr="00553F07">
        <w:rPr>
          <w:position w:val="-10"/>
        </w:rPr>
        <w:object w:dxaOrig="864" w:dyaOrig="312" w14:anchorId="5F53B0D3">
          <v:shape id="_x0000_i1039" type="#_x0000_t75" style="width:43.2pt;height:15.6pt" o:ole="">
            <v:imagedata r:id="rId39" o:title=""/>
          </v:shape>
          <o:OLEObject Type="Embed" ProgID="Equation.AxMath" ShapeID="_x0000_i1039" DrawAspect="Content" ObjectID="_1683931391" r:id="rId40"/>
        </w:object>
      </w:r>
      <w:r>
        <w:rPr>
          <w:rFonts w:hint="eastAsia"/>
        </w:rPr>
        <w:t>时，无法拒绝原假设，即认为变量服从正态分布。下表记录了从2019年4月到2021年5月共26个月，13个时间段每个时间段内上证指数与板块指数的</w:t>
      </w:r>
      <w:r w:rsidRPr="003D5C3A">
        <w:rPr>
          <w:position w:val="-10"/>
        </w:rPr>
        <w:object w:dxaOrig="164" w:dyaOrig="312" w14:anchorId="28B381F8">
          <v:shape id="_x0000_i1040" type="#_x0000_t75" style="width:8.4pt;height:15.6pt" o:ole="">
            <v:imagedata r:id="rId41" o:title=""/>
          </v:shape>
          <o:OLEObject Type="Embed" ProgID="Equation.AxMath" ShapeID="_x0000_i1040" DrawAspect="Content" ObjectID="_1683931392" r:id="rId42"/>
        </w:object>
      </w:r>
      <w:r>
        <w:rPr>
          <w:rFonts w:hint="eastAsia"/>
        </w:rPr>
        <w:t>值。</w:t>
      </w:r>
    </w:p>
    <w:tbl>
      <w:tblPr>
        <w:tblStyle w:val="ab"/>
        <w:tblW w:w="5954" w:type="dxa"/>
        <w:tblLook w:val="04A0" w:firstRow="1" w:lastRow="0" w:firstColumn="1" w:lastColumn="0" w:noHBand="0" w:noVBand="1"/>
      </w:tblPr>
      <w:tblGrid>
        <w:gridCol w:w="2410"/>
        <w:gridCol w:w="1418"/>
        <w:gridCol w:w="283"/>
        <w:gridCol w:w="1843"/>
      </w:tblGrid>
      <w:tr w:rsidR="006D1D72" w:rsidRPr="005C7301" w14:paraId="3D68B00E" w14:textId="77777777" w:rsidTr="004D75EA">
        <w:trPr>
          <w:cnfStyle w:val="100000000000" w:firstRow="1" w:lastRow="0" w:firstColumn="0" w:lastColumn="0" w:oddVBand="0" w:evenVBand="0" w:oddHBand="0" w:evenHBand="0" w:firstRowFirstColumn="0" w:firstRowLastColumn="0" w:lastRowFirstColumn="0" w:lastRowLastColumn="0"/>
          <w:trHeight w:val="276"/>
        </w:trPr>
        <w:tc>
          <w:tcPr>
            <w:tcW w:w="2410" w:type="dxa"/>
            <w:noWrap/>
            <w:hideMark/>
          </w:tcPr>
          <w:p w14:paraId="20801362"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日期</w:t>
            </w:r>
          </w:p>
        </w:tc>
        <w:tc>
          <w:tcPr>
            <w:tcW w:w="1701" w:type="dxa"/>
            <w:gridSpan w:val="2"/>
          </w:tcPr>
          <w:p w14:paraId="6C745983"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上证指数p值</w:t>
            </w:r>
          </w:p>
        </w:tc>
        <w:tc>
          <w:tcPr>
            <w:tcW w:w="1843" w:type="dxa"/>
            <w:noWrap/>
            <w:hideMark/>
          </w:tcPr>
          <w:p w14:paraId="469AD84C"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板块指数p值</w:t>
            </w:r>
          </w:p>
        </w:tc>
      </w:tr>
      <w:tr w:rsidR="006D1D72" w:rsidRPr="005C7301" w14:paraId="367803F7" w14:textId="77777777" w:rsidTr="004D75EA">
        <w:trPr>
          <w:trHeight w:val="276"/>
        </w:trPr>
        <w:tc>
          <w:tcPr>
            <w:tcW w:w="2410" w:type="dxa"/>
            <w:noWrap/>
            <w:hideMark/>
          </w:tcPr>
          <w:p w14:paraId="7436D7C2"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2019.4-</w:t>
            </w:r>
            <w:r>
              <w:rPr>
                <w:rFonts w:ascii="等线" w:eastAsia="等线" w:hAnsi="等线" w:cs="宋体" w:hint="eastAsia"/>
                <w:color w:val="000000"/>
                <w:kern w:val="0"/>
                <w:sz w:val="22"/>
              </w:rPr>
              <w:t>2019.</w:t>
            </w:r>
            <w:r w:rsidRPr="005C7301">
              <w:rPr>
                <w:rFonts w:ascii="等线" w:eastAsia="等线" w:hAnsi="等线" w:cs="宋体" w:hint="eastAsia"/>
                <w:color w:val="000000"/>
                <w:kern w:val="0"/>
                <w:sz w:val="22"/>
              </w:rPr>
              <w:t>5</w:t>
            </w:r>
          </w:p>
        </w:tc>
        <w:tc>
          <w:tcPr>
            <w:tcW w:w="1418" w:type="dxa"/>
          </w:tcPr>
          <w:p w14:paraId="77002309"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0.043</w:t>
            </w:r>
          </w:p>
        </w:tc>
        <w:tc>
          <w:tcPr>
            <w:tcW w:w="2126" w:type="dxa"/>
            <w:gridSpan w:val="2"/>
            <w:noWrap/>
            <w:hideMark/>
          </w:tcPr>
          <w:p w14:paraId="5B4D1052"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0.417</w:t>
            </w:r>
          </w:p>
        </w:tc>
      </w:tr>
      <w:tr w:rsidR="006D1D72" w:rsidRPr="005C7301" w14:paraId="5CDF62BB" w14:textId="77777777" w:rsidTr="004D75EA">
        <w:trPr>
          <w:trHeight w:val="276"/>
        </w:trPr>
        <w:tc>
          <w:tcPr>
            <w:tcW w:w="2410" w:type="dxa"/>
            <w:noWrap/>
            <w:hideMark/>
          </w:tcPr>
          <w:p w14:paraId="353CDCF8"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2019.6-</w:t>
            </w:r>
            <w:r>
              <w:rPr>
                <w:rFonts w:ascii="等线" w:eastAsia="等线" w:hAnsi="等线" w:cs="宋体" w:hint="eastAsia"/>
                <w:color w:val="000000"/>
                <w:kern w:val="0"/>
                <w:sz w:val="22"/>
              </w:rPr>
              <w:t>2019.</w:t>
            </w:r>
            <w:r w:rsidRPr="005C7301">
              <w:rPr>
                <w:rFonts w:ascii="等线" w:eastAsia="等线" w:hAnsi="等线" w:cs="宋体" w:hint="eastAsia"/>
                <w:color w:val="000000"/>
                <w:kern w:val="0"/>
                <w:sz w:val="22"/>
              </w:rPr>
              <w:t>7</w:t>
            </w:r>
          </w:p>
        </w:tc>
        <w:tc>
          <w:tcPr>
            <w:tcW w:w="1418" w:type="dxa"/>
          </w:tcPr>
          <w:p w14:paraId="7AF5DF72"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0.500</w:t>
            </w:r>
          </w:p>
        </w:tc>
        <w:tc>
          <w:tcPr>
            <w:tcW w:w="2126" w:type="dxa"/>
            <w:gridSpan w:val="2"/>
            <w:noWrap/>
            <w:hideMark/>
          </w:tcPr>
          <w:p w14:paraId="458A11F3"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0.162</w:t>
            </w:r>
          </w:p>
        </w:tc>
      </w:tr>
      <w:tr w:rsidR="006D1D72" w:rsidRPr="005C7301" w14:paraId="63613EE1" w14:textId="77777777" w:rsidTr="004D75EA">
        <w:trPr>
          <w:trHeight w:val="276"/>
        </w:trPr>
        <w:tc>
          <w:tcPr>
            <w:tcW w:w="2410" w:type="dxa"/>
            <w:noWrap/>
            <w:hideMark/>
          </w:tcPr>
          <w:p w14:paraId="00DB7668"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2019.8-</w:t>
            </w:r>
            <w:r>
              <w:rPr>
                <w:rFonts w:ascii="等线" w:eastAsia="等线" w:hAnsi="等线" w:cs="宋体" w:hint="eastAsia"/>
                <w:color w:val="000000"/>
                <w:kern w:val="0"/>
                <w:sz w:val="22"/>
              </w:rPr>
              <w:t>2019.</w:t>
            </w:r>
            <w:r w:rsidRPr="005C7301">
              <w:rPr>
                <w:rFonts w:ascii="等线" w:eastAsia="等线" w:hAnsi="等线" w:cs="宋体" w:hint="eastAsia"/>
                <w:color w:val="000000"/>
                <w:kern w:val="0"/>
                <w:sz w:val="22"/>
              </w:rPr>
              <w:t>9</w:t>
            </w:r>
          </w:p>
        </w:tc>
        <w:tc>
          <w:tcPr>
            <w:tcW w:w="1418" w:type="dxa"/>
          </w:tcPr>
          <w:p w14:paraId="7E5A186B"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0.174</w:t>
            </w:r>
          </w:p>
        </w:tc>
        <w:tc>
          <w:tcPr>
            <w:tcW w:w="2126" w:type="dxa"/>
            <w:gridSpan w:val="2"/>
            <w:noWrap/>
            <w:hideMark/>
          </w:tcPr>
          <w:p w14:paraId="6167BA41"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0.086</w:t>
            </w:r>
          </w:p>
        </w:tc>
      </w:tr>
      <w:tr w:rsidR="006D1D72" w:rsidRPr="005C7301" w14:paraId="0A856E16" w14:textId="77777777" w:rsidTr="004D75EA">
        <w:trPr>
          <w:trHeight w:val="276"/>
        </w:trPr>
        <w:tc>
          <w:tcPr>
            <w:tcW w:w="2410" w:type="dxa"/>
            <w:noWrap/>
            <w:hideMark/>
          </w:tcPr>
          <w:p w14:paraId="24B633D4"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2019.10-</w:t>
            </w:r>
            <w:r>
              <w:rPr>
                <w:rFonts w:ascii="等线" w:eastAsia="等线" w:hAnsi="等线" w:cs="宋体" w:hint="eastAsia"/>
                <w:color w:val="000000"/>
                <w:kern w:val="0"/>
                <w:sz w:val="22"/>
              </w:rPr>
              <w:t>2019.</w:t>
            </w:r>
            <w:r w:rsidRPr="005C7301">
              <w:rPr>
                <w:rFonts w:ascii="等线" w:eastAsia="等线" w:hAnsi="等线" w:cs="宋体" w:hint="eastAsia"/>
                <w:color w:val="000000"/>
                <w:kern w:val="0"/>
                <w:sz w:val="22"/>
              </w:rPr>
              <w:t>11</w:t>
            </w:r>
          </w:p>
        </w:tc>
        <w:tc>
          <w:tcPr>
            <w:tcW w:w="1418" w:type="dxa"/>
          </w:tcPr>
          <w:p w14:paraId="7CEF09AE"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0.253</w:t>
            </w:r>
          </w:p>
        </w:tc>
        <w:tc>
          <w:tcPr>
            <w:tcW w:w="2126" w:type="dxa"/>
            <w:gridSpan w:val="2"/>
            <w:noWrap/>
            <w:hideMark/>
          </w:tcPr>
          <w:p w14:paraId="795344DB"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0.179</w:t>
            </w:r>
          </w:p>
        </w:tc>
      </w:tr>
      <w:tr w:rsidR="006D1D72" w:rsidRPr="005C7301" w14:paraId="26CA6F80" w14:textId="77777777" w:rsidTr="004D75EA">
        <w:trPr>
          <w:trHeight w:val="276"/>
        </w:trPr>
        <w:tc>
          <w:tcPr>
            <w:tcW w:w="2410" w:type="dxa"/>
            <w:noWrap/>
            <w:hideMark/>
          </w:tcPr>
          <w:p w14:paraId="3BDD0474"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2019.12-2020.1</w:t>
            </w:r>
          </w:p>
        </w:tc>
        <w:tc>
          <w:tcPr>
            <w:tcW w:w="1418" w:type="dxa"/>
          </w:tcPr>
          <w:p w14:paraId="2900B467"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0.100</w:t>
            </w:r>
          </w:p>
        </w:tc>
        <w:tc>
          <w:tcPr>
            <w:tcW w:w="2126" w:type="dxa"/>
            <w:gridSpan w:val="2"/>
            <w:noWrap/>
            <w:hideMark/>
          </w:tcPr>
          <w:p w14:paraId="1B159A3A"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0.089</w:t>
            </w:r>
          </w:p>
        </w:tc>
      </w:tr>
      <w:tr w:rsidR="006D1D72" w:rsidRPr="005C7301" w14:paraId="0B0F70F3" w14:textId="77777777" w:rsidTr="004D75EA">
        <w:trPr>
          <w:trHeight w:val="276"/>
        </w:trPr>
        <w:tc>
          <w:tcPr>
            <w:tcW w:w="2410" w:type="dxa"/>
            <w:noWrap/>
            <w:hideMark/>
          </w:tcPr>
          <w:p w14:paraId="3F243F77"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2020.2-</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3</w:t>
            </w:r>
          </w:p>
        </w:tc>
        <w:tc>
          <w:tcPr>
            <w:tcW w:w="1418" w:type="dxa"/>
          </w:tcPr>
          <w:p w14:paraId="6CA39A62"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0.094</w:t>
            </w:r>
          </w:p>
        </w:tc>
        <w:tc>
          <w:tcPr>
            <w:tcW w:w="2126" w:type="dxa"/>
            <w:gridSpan w:val="2"/>
            <w:noWrap/>
            <w:hideMark/>
          </w:tcPr>
          <w:p w14:paraId="5B669FDB"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0.068</w:t>
            </w:r>
          </w:p>
        </w:tc>
      </w:tr>
      <w:tr w:rsidR="006D1D72" w:rsidRPr="005C7301" w14:paraId="4E7514AB" w14:textId="77777777" w:rsidTr="004D75EA">
        <w:trPr>
          <w:trHeight w:val="276"/>
        </w:trPr>
        <w:tc>
          <w:tcPr>
            <w:tcW w:w="2410" w:type="dxa"/>
            <w:noWrap/>
            <w:hideMark/>
          </w:tcPr>
          <w:p w14:paraId="6A6CCC54"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2020.4-</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5</w:t>
            </w:r>
          </w:p>
        </w:tc>
        <w:tc>
          <w:tcPr>
            <w:tcW w:w="1418" w:type="dxa"/>
          </w:tcPr>
          <w:p w14:paraId="6AE7993D"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0.500</w:t>
            </w:r>
          </w:p>
        </w:tc>
        <w:tc>
          <w:tcPr>
            <w:tcW w:w="2126" w:type="dxa"/>
            <w:gridSpan w:val="2"/>
            <w:noWrap/>
            <w:hideMark/>
          </w:tcPr>
          <w:p w14:paraId="51EEBA7C"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0.134</w:t>
            </w:r>
          </w:p>
        </w:tc>
      </w:tr>
      <w:tr w:rsidR="006D1D72" w:rsidRPr="005C7301" w14:paraId="6CF6564E" w14:textId="77777777" w:rsidTr="004D75EA">
        <w:trPr>
          <w:trHeight w:val="276"/>
        </w:trPr>
        <w:tc>
          <w:tcPr>
            <w:tcW w:w="2410" w:type="dxa"/>
            <w:noWrap/>
            <w:hideMark/>
          </w:tcPr>
          <w:p w14:paraId="7CA6B3FE"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2020.6-</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7</w:t>
            </w:r>
          </w:p>
        </w:tc>
        <w:tc>
          <w:tcPr>
            <w:tcW w:w="1418" w:type="dxa"/>
          </w:tcPr>
          <w:p w14:paraId="2254093E"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0.048</w:t>
            </w:r>
          </w:p>
        </w:tc>
        <w:tc>
          <w:tcPr>
            <w:tcW w:w="2126" w:type="dxa"/>
            <w:gridSpan w:val="2"/>
            <w:noWrap/>
            <w:hideMark/>
          </w:tcPr>
          <w:p w14:paraId="0CF34DA4"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0.058</w:t>
            </w:r>
          </w:p>
        </w:tc>
      </w:tr>
      <w:tr w:rsidR="006D1D72" w:rsidRPr="005C7301" w14:paraId="20C4829D" w14:textId="77777777" w:rsidTr="004D75EA">
        <w:trPr>
          <w:trHeight w:val="276"/>
        </w:trPr>
        <w:tc>
          <w:tcPr>
            <w:tcW w:w="2410" w:type="dxa"/>
            <w:noWrap/>
            <w:hideMark/>
          </w:tcPr>
          <w:p w14:paraId="4159E459"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2020.8-</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9</w:t>
            </w:r>
          </w:p>
        </w:tc>
        <w:tc>
          <w:tcPr>
            <w:tcW w:w="1418" w:type="dxa"/>
          </w:tcPr>
          <w:p w14:paraId="309A0778"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0.185</w:t>
            </w:r>
          </w:p>
        </w:tc>
        <w:tc>
          <w:tcPr>
            <w:tcW w:w="2126" w:type="dxa"/>
            <w:gridSpan w:val="2"/>
            <w:noWrap/>
            <w:hideMark/>
          </w:tcPr>
          <w:p w14:paraId="201D57F8"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0.247</w:t>
            </w:r>
          </w:p>
        </w:tc>
      </w:tr>
      <w:tr w:rsidR="006D1D72" w:rsidRPr="005C7301" w14:paraId="70AE3756" w14:textId="77777777" w:rsidTr="004D75EA">
        <w:trPr>
          <w:trHeight w:val="276"/>
        </w:trPr>
        <w:tc>
          <w:tcPr>
            <w:tcW w:w="2410" w:type="dxa"/>
            <w:noWrap/>
            <w:hideMark/>
          </w:tcPr>
          <w:p w14:paraId="2DD37962"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2020.10-</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11</w:t>
            </w:r>
          </w:p>
        </w:tc>
        <w:tc>
          <w:tcPr>
            <w:tcW w:w="1418" w:type="dxa"/>
          </w:tcPr>
          <w:p w14:paraId="24E46EDC"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0.405</w:t>
            </w:r>
          </w:p>
        </w:tc>
        <w:tc>
          <w:tcPr>
            <w:tcW w:w="2126" w:type="dxa"/>
            <w:gridSpan w:val="2"/>
            <w:noWrap/>
            <w:hideMark/>
          </w:tcPr>
          <w:p w14:paraId="6A7DA19F"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0.045</w:t>
            </w:r>
          </w:p>
        </w:tc>
      </w:tr>
      <w:tr w:rsidR="006D1D72" w:rsidRPr="005C7301" w14:paraId="28B81128" w14:textId="77777777" w:rsidTr="004D75EA">
        <w:trPr>
          <w:trHeight w:val="276"/>
        </w:trPr>
        <w:tc>
          <w:tcPr>
            <w:tcW w:w="2410" w:type="dxa"/>
            <w:noWrap/>
            <w:hideMark/>
          </w:tcPr>
          <w:p w14:paraId="668DD1A1"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2020.12-2021.1</w:t>
            </w:r>
          </w:p>
        </w:tc>
        <w:tc>
          <w:tcPr>
            <w:tcW w:w="1418" w:type="dxa"/>
          </w:tcPr>
          <w:p w14:paraId="69B00333"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0.059</w:t>
            </w:r>
          </w:p>
        </w:tc>
        <w:tc>
          <w:tcPr>
            <w:tcW w:w="2126" w:type="dxa"/>
            <w:gridSpan w:val="2"/>
            <w:noWrap/>
            <w:hideMark/>
          </w:tcPr>
          <w:p w14:paraId="2077A315"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0.086</w:t>
            </w:r>
          </w:p>
        </w:tc>
      </w:tr>
      <w:tr w:rsidR="006D1D72" w:rsidRPr="005C7301" w14:paraId="62C018E8" w14:textId="77777777" w:rsidTr="004D75EA">
        <w:trPr>
          <w:trHeight w:val="276"/>
        </w:trPr>
        <w:tc>
          <w:tcPr>
            <w:tcW w:w="2410" w:type="dxa"/>
            <w:noWrap/>
            <w:hideMark/>
          </w:tcPr>
          <w:p w14:paraId="3876EBAC"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2021.2-</w:t>
            </w:r>
            <w:r>
              <w:rPr>
                <w:rFonts w:ascii="等线" w:eastAsia="等线" w:hAnsi="等线" w:cs="宋体" w:hint="eastAsia"/>
                <w:color w:val="000000"/>
                <w:kern w:val="0"/>
                <w:sz w:val="22"/>
              </w:rPr>
              <w:t>2021.</w:t>
            </w:r>
            <w:r w:rsidRPr="005C7301">
              <w:rPr>
                <w:rFonts w:ascii="等线" w:eastAsia="等线" w:hAnsi="等线" w:cs="宋体" w:hint="eastAsia"/>
                <w:color w:val="000000"/>
                <w:kern w:val="0"/>
                <w:sz w:val="22"/>
              </w:rPr>
              <w:t>3</w:t>
            </w:r>
          </w:p>
        </w:tc>
        <w:tc>
          <w:tcPr>
            <w:tcW w:w="1418" w:type="dxa"/>
          </w:tcPr>
          <w:p w14:paraId="453BEB8B"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0.196</w:t>
            </w:r>
          </w:p>
        </w:tc>
        <w:tc>
          <w:tcPr>
            <w:tcW w:w="2126" w:type="dxa"/>
            <w:gridSpan w:val="2"/>
            <w:noWrap/>
            <w:hideMark/>
          </w:tcPr>
          <w:p w14:paraId="26C806F8"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0.254</w:t>
            </w:r>
          </w:p>
        </w:tc>
      </w:tr>
      <w:tr w:rsidR="006D1D72" w:rsidRPr="005C7301" w14:paraId="0ADE1E73" w14:textId="77777777" w:rsidTr="004D75EA">
        <w:trPr>
          <w:trHeight w:val="276"/>
        </w:trPr>
        <w:tc>
          <w:tcPr>
            <w:tcW w:w="2410" w:type="dxa"/>
            <w:noWrap/>
            <w:hideMark/>
          </w:tcPr>
          <w:p w14:paraId="7E885AB0"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2021.4-</w:t>
            </w:r>
            <w:r>
              <w:rPr>
                <w:rFonts w:ascii="等线" w:eastAsia="等线" w:hAnsi="等线" w:cs="宋体" w:hint="eastAsia"/>
                <w:color w:val="000000"/>
                <w:kern w:val="0"/>
                <w:sz w:val="22"/>
              </w:rPr>
              <w:t>2021.</w:t>
            </w:r>
            <w:r w:rsidRPr="005C7301">
              <w:rPr>
                <w:rFonts w:ascii="等线" w:eastAsia="等线" w:hAnsi="等线" w:cs="宋体" w:hint="eastAsia"/>
                <w:color w:val="000000"/>
                <w:kern w:val="0"/>
                <w:sz w:val="22"/>
              </w:rPr>
              <w:t>5</w:t>
            </w:r>
          </w:p>
        </w:tc>
        <w:tc>
          <w:tcPr>
            <w:tcW w:w="1418" w:type="dxa"/>
          </w:tcPr>
          <w:p w14:paraId="500C0D0B"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0.019</w:t>
            </w:r>
          </w:p>
        </w:tc>
        <w:tc>
          <w:tcPr>
            <w:tcW w:w="2126" w:type="dxa"/>
            <w:gridSpan w:val="2"/>
            <w:noWrap/>
            <w:hideMark/>
          </w:tcPr>
          <w:p w14:paraId="795D499E"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0.209</w:t>
            </w:r>
          </w:p>
        </w:tc>
      </w:tr>
    </w:tbl>
    <w:p w14:paraId="0642D28F" w14:textId="77777777" w:rsidR="006D1D72" w:rsidRDefault="006D1D72" w:rsidP="006D1D72">
      <w:r>
        <w:rPr>
          <w:rFonts w:hint="eastAsia"/>
        </w:rPr>
        <w:t>由表中数据可以看出，在任一时间段内均无法拒绝原假设，即上证指数与板块指数近似满足正态分布。</w:t>
      </w:r>
    </w:p>
    <w:p w14:paraId="4C9474F1" w14:textId="77777777" w:rsidR="006D1D72" w:rsidRPr="00233E83" w:rsidRDefault="006D1D72" w:rsidP="006D1D72">
      <w:r>
        <w:rPr>
          <w:rFonts w:hint="eastAsia"/>
        </w:rPr>
        <w:t>通过上述两步检验，证明了本文使用皮尔逊相关系数来分析上证指数与板块指数相关性的合理性与科学性。</w:t>
      </w:r>
    </w:p>
    <w:p w14:paraId="765715D8" w14:textId="77777777" w:rsidR="006D1D72" w:rsidRDefault="006D1D72" w:rsidP="006D1D72">
      <w:r>
        <w:rPr>
          <w:rFonts w:hint="eastAsia"/>
        </w:rPr>
        <w:t>5.3.2计算皮尔逊相关系数并分析相关性</w:t>
      </w:r>
    </w:p>
    <w:p w14:paraId="05EDE693" w14:textId="77777777" w:rsidR="006D1D72" w:rsidRDefault="006D1D72" w:rsidP="006D1D72">
      <w:r>
        <w:rPr>
          <w:rFonts w:hint="eastAsia"/>
        </w:rPr>
        <w:t>本文是对2019年4月至2021年5月的上证指数与板块指数进行分析，两组数据均为样本数据，因此，上证指数与板块指数的皮尔逊相关系数计算公式为：</w:t>
      </w:r>
    </w:p>
    <w:p w14:paraId="12B3467C" w14:textId="77777777" w:rsidR="006D1D72" w:rsidRDefault="006D1D72" w:rsidP="006D1D72">
      <w:pPr>
        <w:pStyle w:val="AMDisplayEquation"/>
      </w:pPr>
      <w:r>
        <w:tab/>
      </w:r>
      <w:r w:rsidRPr="00491B00">
        <w:rPr>
          <w:position w:val="-23"/>
        </w:rPr>
        <w:object w:dxaOrig="1398" w:dyaOrig="588" w14:anchorId="098DCF7A">
          <v:shape id="_x0000_i1041" type="#_x0000_t75" style="width:70.2pt;height:29.4pt" o:ole="">
            <v:imagedata r:id="rId43" o:title=""/>
          </v:shape>
          <o:OLEObject Type="Embed" ProgID="Equation.AxMath" ShapeID="_x0000_i1041" DrawAspect="Content" ObjectID="_1683931393" r:id="rId44"/>
        </w:object>
      </w:r>
    </w:p>
    <w:p w14:paraId="02A3B58D" w14:textId="77777777" w:rsidR="006D1D72" w:rsidRDefault="006D1D72" w:rsidP="006D1D72">
      <w:r>
        <w:rPr>
          <w:rFonts w:hint="eastAsia"/>
        </w:rPr>
        <w:t>其中，二者的协方差计算公式为：</w:t>
      </w:r>
    </w:p>
    <w:p w14:paraId="5D78A608" w14:textId="77777777" w:rsidR="006D1D72" w:rsidRPr="00491B00" w:rsidRDefault="006D1D72" w:rsidP="006D1D72">
      <w:pPr>
        <w:pStyle w:val="AMDisplayEquation"/>
      </w:pPr>
      <w:r>
        <w:tab/>
      </w:r>
      <w:r w:rsidRPr="00491B00">
        <w:rPr>
          <w:position w:val="-23"/>
        </w:rPr>
        <w:object w:dxaOrig="3334" w:dyaOrig="926" w14:anchorId="205D40A2">
          <v:shape id="_x0000_i1042" type="#_x0000_t75" style="width:166.8pt;height:46.2pt" o:ole="">
            <v:imagedata r:id="rId45" o:title=""/>
          </v:shape>
          <o:OLEObject Type="Embed" ProgID="Equation.AxMath" ShapeID="_x0000_i1042" DrawAspect="Content" ObjectID="_1683931394" r:id="rId46"/>
        </w:object>
      </w:r>
    </w:p>
    <w:p w14:paraId="78866981" w14:textId="77777777" w:rsidR="006D1D72" w:rsidRDefault="006D1D72" w:rsidP="006D1D72">
      <w:r>
        <w:rPr>
          <w:rFonts w:hint="eastAsia"/>
        </w:rPr>
        <w:t>二者的标准差计算公式为：</w:t>
      </w:r>
    </w:p>
    <w:p w14:paraId="578A8095" w14:textId="77777777" w:rsidR="006D1D72" w:rsidRDefault="006D1D72" w:rsidP="006D1D72">
      <w:pPr>
        <w:pStyle w:val="AMDisplayEquation"/>
      </w:pPr>
      <w:r>
        <w:tab/>
      </w:r>
      <w:r w:rsidRPr="00793792">
        <w:rPr>
          <w:position w:val="-24"/>
        </w:rPr>
        <w:object w:dxaOrig="2148" w:dyaOrig="975" w14:anchorId="34853B01">
          <v:shape id="_x0000_i1043" type="#_x0000_t75" style="width:107.4pt;height:48.6pt" o:ole="">
            <v:imagedata r:id="rId47" o:title=""/>
          </v:shape>
          <o:OLEObject Type="Embed" ProgID="Equation.AxMath" ShapeID="_x0000_i1043" DrawAspect="Content" ObjectID="_1683931395" r:id="rId48"/>
        </w:object>
      </w:r>
    </w:p>
    <w:p w14:paraId="7773C4BE" w14:textId="77777777" w:rsidR="006D1D72" w:rsidRDefault="006D1D72" w:rsidP="006D1D72">
      <w:pPr>
        <w:pStyle w:val="AMDisplayEquation"/>
      </w:pPr>
      <w:r>
        <w:tab/>
      </w:r>
      <w:r w:rsidRPr="00793792">
        <w:rPr>
          <w:position w:val="-24"/>
        </w:rPr>
        <w:object w:dxaOrig="2064" w:dyaOrig="975" w14:anchorId="76355905">
          <v:shape id="_x0000_i1044" type="#_x0000_t75" style="width:103.2pt;height:48.6pt" o:ole="">
            <v:imagedata r:id="rId49" o:title=""/>
          </v:shape>
          <o:OLEObject Type="Embed" ProgID="Equation.AxMath" ShapeID="_x0000_i1044" DrawAspect="Content" ObjectID="_1683931396" r:id="rId50"/>
        </w:object>
      </w:r>
    </w:p>
    <w:p w14:paraId="2F4FAD74" w14:textId="77777777" w:rsidR="006D1D72" w:rsidRDefault="006D1D72" w:rsidP="006D1D72">
      <w:r>
        <w:rPr>
          <w:rFonts w:hint="eastAsia"/>
        </w:rPr>
        <w:t>通过Matlab计算皮尔逊相关系数，并对其进行t检验，以判断皮尔逊相关系数是否显著异于0，计算结果如下：</w:t>
      </w:r>
    </w:p>
    <w:tbl>
      <w:tblPr>
        <w:tblStyle w:val="ab"/>
        <w:tblW w:w="6379" w:type="dxa"/>
        <w:tblLook w:val="04A0" w:firstRow="1" w:lastRow="0" w:firstColumn="1" w:lastColumn="0" w:noHBand="0" w:noVBand="1"/>
      </w:tblPr>
      <w:tblGrid>
        <w:gridCol w:w="2410"/>
        <w:gridCol w:w="1985"/>
        <w:gridCol w:w="1984"/>
      </w:tblGrid>
      <w:tr w:rsidR="006D1D72" w:rsidRPr="005C7301" w14:paraId="1DCE37A4" w14:textId="77777777" w:rsidTr="004D75EA">
        <w:trPr>
          <w:cnfStyle w:val="100000000000" w:firstRow="1" w:lastRow="0" w:firstColumn="0" w:lastColumn="0" w:oddVBand="0" w:evenVBand="0" w:oddHBand="0" w:evenHBand="0" w:firstRowFirstColumn="0" w:firstRowLastColumn="0" w:lastRowFirstColumn="0" w:lastRowLastColumn="0"/>
          <w:trHeight w:val="276"/>
        </w:trPr>
        <w:tc>
          <w:tcPr>
            <w:tcW w:w="2410" w:type="dxa"/>
            <w:noWrap/>
            <w:hideMark/>
          </w:tcPr>
          <w:p w14:paraId="1EBDFB82"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日期</w:t>
            </w:r>
          </w:p>
        </w:tc>
        <w:tc>
          <w:tcPr>
            <w:tcW w:w="1985" w:type="dxa"/>
          </w:tcPr>
          <w:p w14:paraId="79665ED3"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皮尔逊相关系数</w:t>
            </w:r>
          </w:p>
        </w:tc>
        <w:tc>
          <w:tcPr>
            <w:tcW w:w="1984" w:type="dxa"/>
            <w:noWrap/>
            <w:hideMark/>
          </w:tcPr>
          <w:p w14:paraId="6750B21F"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p值</w:t>
            </w:r>
          </w:p>
        </w:tc>
      </w:tr>
      <w:tr w:rsidR="006D1D72" w:rsidRPr="005C7301" w14:paraId="0E508883" w14:textId="77777777" w:rsidTr="004D75EA">
        <w:trPr>
          <w:trHeight w:val="276"/>
        </w:trPr>
        <w:tc>
          <w:tcPr>
            <w:tcW w:w="2410" w:type="dxa"/>
            <w:noWrap/>
            <w:hideMark/>
          </w:tcPr>
          <w:p w14:paraId="0B394308"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lastRenderedPageBreak/>
              <w:t>2019.4-</w:t>
            </w:r>
            <w:r>
              <w:rPr>
                <w:rFonts w:ascii="等线" w:eastAsia="等线" w:hAnsi="等线" w:cs="宋体" w:hint="eastAsia"/>
                <w:color w:val="000000"/>
                <w:kern w:val="0"/>
                <w:sz w:val="22"/>
              </w:rPr>
              <w:t>2019.</w:t>
            </w:r>
            <w:r w:rsidRPr="005C7301">
              <w:rPr>
                <w:rFonts w:ascii="等线" w:eastAsia="等线" w:hAnsi="等线" w:cs="宋体" w:hint="eastAsia"/>
                <w:color w:val="000000"/>
                <w:kern w:val="0"/>
                <w:sz w:val="22"/>
              </w:rPr>
              <w:t>5</w:t>
            </w:r>
          </w:p>
        </w:tc>
        <w:tc>
          <w:tcPr>
            <w:tcW w:w="1985" w:type="dxa"/>
          </w:tcPr>
          <w:p w14:paraId="2ECD4314"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0.3104</w:t>
            </w:r>
          </w:p>
        </w:tc>
        <w:tc>
          <w:tcPr>
            <w:tcW w:w="1984" w:type="dxa"/>
            <w:noWrap/>
            <w:hideMark/>
          </w:tcPr>
          <w:p w14:paraId="13932073"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0.0482</w:t>
            </w:r>
          </w:p>
        </w:tc>
      </w:tr>
      <w:tr w:rsidR="006D1D72" w:rsidRPr="005C7301" w14:paraId="05D0B2B5" w14:textId="77777777" w:rsidTr="004D75EA">
        <w:trPr>
          <w:trHeight w:val="276"/>
        </w:trPr>
        <w:tc>
          <w:tcPr>
            <w:tcW w:w="2410" w:type="dxa"/>
            <w:noWrap/>
            <w:hideMark/>
          </w:tcPr>
          <w:p w14:paraId="4291CDED"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2019.6-</w:t>
            </w:r>
            <w:r>
              <w:rPr>
                <w:rFonts w:ascii="等线" w:eastAsia="等线" w:hAnsi="等线" w:cs="宋体" w:hint="eastAsia"/>
                <w:color w:val="000000"/>
                <w:kern w:val="0"/>
                <w:sz w:val="22"/>
              </w:rPr>
              <w:t>2019.</w:t>
            </w:r>
            <w:r w:rsidRPr="005C7301">
              <w:rPr>
                <w:rFonts w:ascii="等线" w:eastAsia="等线" w:hAnsi="等线" w:cs="宋体" w:hint="eastAsia"/>
                <w:color w:val="000000"/>
                <w:kern w:val="0"/>
                <w:sz w:val="22"/>
              </w:rPr>
              <w:t>7</w:t>
            </w:r>
          </w:p>
        </w:tc>
        <w:tc>
          <w:tcPr>
            <w:tcW w:w="1985" w:type="dxa"/>
          </w:tcPr>
          <w:p w14:paraId="6E95C9BF"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0.7248</w:t>
            </w:r>
          </w:p>
        </w:tc>
        <w:tc>
          <w:tcPr>
            <w:tcW w:w="1984" w:type="dxa"/>
            <w:noWrap/>
            <w:hideMark/>
          </w:tcPr>
          <w:p w14:paraId="03699DA0"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10C5993D" w14:textId="77777777" w:rsidTr="004D75EA">
        <w:trPr>
          <w:trHeight w:val="276"/>
        </w:trPr>
        <w:tc>
          <w:tcPr>
            <w:tcW w:w="2410" w:type="dxa"/>
            <w:noWrap/>
            <w:hideMark/>
          </w:tcPr>
          <w:p w14:paraId="32648A58"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2019.8-</w:t>
            </w:r>
            <w:r>
              <w:rPr>
                <w:rFonts w:ascii="等线" w:eastAsia="等线" w:hAnsi="等线" w:cs="宋体" w:hint="eastAsia"/>
                <w:color w:val="000000"/>
                <w:kern w:val="0"/>
                <w:sz w:val="22"/>
              </w:rPr>
              <w:t>2019.</w:t>
            </w:r>
            <w:r w:rsidRPr="005C7301">
              <w:rPr>
                <w:rFonts w:ascii="等线" w:eastAsia="等线" w:hAnsi="等线" w:cs="宋体" w:hint="eastAsia"/>
                <w:color w:val="000000"/>
                <w:kern w:val="0"/>
                <w:sz w:val="22"/>
              </w:rPr>
              <w:t>9</w:t>
            </w:r>
          </w:p>
        </w:tc>
        <w:tc>
          <w:tcPr>
            <w:tcW w:w="1985" w:type="dxa"/>
          </w:tcPr>
          <w:p w14:paraId="561C1B79"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0.9692</w:t>
            </w:r>
          </w:p>
        </w:tc>
        <w:tc>
          <w:tcPr>
            <w:tcW w:w="1984" w:type="dxa"/>
            <w:noWrap/>
            <w:hideMark/>
          </w:tcPr>
          <w:p w14:paraId="0F56D211"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5F0ADDCA" w14:textId="77777777" w:rsidTr="004D75EA">
        <w:trPr>
          <w:trHeight w:val="276"/>
        </w:trPr>
        <w:tc>
          <w:tcPr>
            <w:tcW w:w="2410" w:type="dxa"/>
            <w:noWrap/>
            <w:hideMark/>
          </w:tcPr>
          <w:p w14:paraId="07948272"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2019.10-</w:t>
            </w:r>
            <w:r>
              <w:rPr>
                <w:rFonts w:ascii="等线" w:eastAsia="等线" w:hAnsi="等线" w:cs="宋体" w:hint="eastAsia"/>
                <w:color w:val="000000"/>
                <w:kern w:val="0"/>
                <w:sz w:val="22"/>
              </w:rPr>
              <w:t>2019.</w:t>
            </w:r>
            <w:r w:rsidRPr="005C7301">
              <w:rPr>
                <w:rFonts w:ascii="等线" w:eastAsia="等线" w:hAnsi="等线" w:cs="宋体" w:hint="eastAsia"/>
                <w:color w:val="000000"/>
                <w:kern w:val="0"/>
                <w:sz w:val="22"/>
              </w:rPr>
              <w:t>11</w:t>
            </w:r>
          </w:p>
        </w:tc>
        <w:tc>
          <w:tcPr>
            <w:tcW w:w="1985" w:type="dxa"/>
          </w:tcPr>
          <w:p w14:paraId="675CF540"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0.7539</w:t>
            </w:r>
          </w:p>
        </w:tc>
        <w:tc>
          <w:tcPr>
            <w:tcW w:w="1984" w:type="dxa"/>
            <w:noWrap/>
            <w:hideMark/>
          </w:tcPr>
          <w:p w14:paraId="74398E09"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0941449B" w14:textId="77777777" w:rsidTr="004D75EA">
        <w:trPr>
          <w:trHeight w:val="276"/>
        </w:trPr>
        <w:tc>
          <w:tcPr>
            <w:tcW w:w="2410" w:type="dxa"/>
            <w:noWrap/>
            <w:hideMark/>
          </w:tcPr>
          <w:p w14:paraId="3EEB653A"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2019.12-2020.1</w:t>
            </w:r>
          </w:p>
        </w:tc>
        <w:tc>
          <w:tcPr>
            <w:tcW w:w="1985" w:type="dxa"/>
          </w:tcPr>
          <w:p w14:paraId="6797298D"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0.8818</w:t>
            </w:r>
          </w:p>
        </w:tc>
        <w:tc>
          <w:tcPr>
            <w:tcW w:w="1984" w:type="dxa"/>
            <w:noWrap/>
            <w:hideMark/>
          </w:tcPr>
          <w:p w14:paraId="2D21EB01"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2B764C3C" w14:textId="77777777" w:rsidTr="004D75EA">
        <w:trPr>
          <w:trHeight w:val="276"/>
        </w:trPr>
        <w:tc>
          <w:tcPr>
            <w:tcW w:w="2410" w:type="dxa"/>
            <w:noWrap/>
            <w:hideMark/>
          </w:tcPr>
          <w:p w14:paraId="27F1AD7A"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2020.2-</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3</w:t>
            </w:r>
          </w:p>
        </w:tc>
        <w:tc>
          <w:tcPr>
            <w:tcW w:w="1985" w:type="dxa"/>
          </w:tcPr>
          <w:p w14:paraId="7D98D983"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0.9710</w:t>
            </w:r>
          </w:p>
        </w:tc>
        <w:tc>
          <w:tcPr>
            <w:tcW w:w="1984" w:type="dxa"/>
            <w:noWrap/>
            <w:hideMark/>
          </w:tcPr>
          <w:p w14:paraId="6BDD7FA2"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0EAA0179" w14:textId="77777777" w:rsidTr="004D75EA">
        <w:trPr>
          <w:trHeight w:val="276"/>
        </w:trPr>
        <w:tc>
          <w:tcPr>
            <w:tcW w:w="2410" w:type="dxa"/>
            <w:noWrap/>
            <w:hideMark/>
          </w:tcPr>
          <w:p w14:paraId="7457604D"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2020.4-</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5</w:t>
            </w:r>
          </w:p>
        </w:tc>
        <w:tc>
          <w:tcPr>
            <w:tcW w:w="1985" w:type="dxa"/>
          </w:tcPr>
          <w:p w14:paraId="57166740"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0.9095</w:t>
            </w:r>
          </w:p>
        </w:tc>
        <w:tc>
          <w:tcPr>
            <w:tcW w:w="1984" w:type="dxa"/>
            <w:noWrap/>
            <w:hideMark/>
          </w:tcPr>
          <w:p w14:paraId="1183F711"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287FB09E" w14:textId="77777777" w:rsidTr="004D75EA">
        <w:trPr>
          <w:trHeight w:val="276"/>
        </w:trPr>
        <w:tc>
          <w:tcPr>
            <w:tcW w:w="2410" w:type="dxa"/>
            <w:noWrap/>
            <w:hideMark/>
          </w:tcPr>
          <w:p w14:paraId="2B073E93"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2020.6-</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7</w:t>
            </w:r>
          </w:p>
        </w:tc>
        <w:tc>
          <w:tcPr>
            <w:tcW w:w="1985" w:type="dxa"/>
          </w:tcPr>
          <w:p w14:paraId="4FF8490B"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0.9067</w:t>
            </w:r>
          </w:p>
        </w:tc>
        <w:tc>
          <w:tcPr>
            <w:tcW w:w="1984" w:type="dxa"/>
            <w:noWrap/>
            <w:hideMark/>
          </w:tcPr>
          <w:p w14:paraId="03171B51"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56F3FB7D" w14:textId="77777777" w:rsidTr="004D75EA">
        <w:trPr>
          <w:trHeight w:val="276"/>
        </w:trPr>
        <w:tc>
          <w:tcPr>
            <w:tcW w:w="2410" w:type="dxa"/>
            <w:noWrap/>
            <w:hideMark/>
          </w:tcPr>
          <w:p w14:paraId="45A76E19"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2020.8-</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9</w:t>
            </w:r>
          </w:p>
        </w:tc>
        <w:tc>
          <w:tcPr>
            <w:tcW w:w="1985" w:type="dxa"/>
          </w:tcPr>
          <w:p w14:paraId="4337979D"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-0.3912</w:t>
            </w:r>
          </w:p>
        </w:tc>
        <w:tc>
          <w:tcPr>
            <w:tcW w:w="1984" w:type="dxa"/>
            <w:noWrap/>
            <w:hideMark/>
          </w:tcPr>
          <w:p w14:paraId="46C03668"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.0095</w:t>
            </w:r>
          </w:p>
        </w:tc>
      </w:tr>
      <w:tr w:rsidR="006D1D72" w:rsidRPr="005C7301" w14:paraId="7662CF35" w14:textId="77777777" w:rsidTr="004D75EA">
        <w:trPr>
          <w:trHeight w:val="276"/>
        </w:trPr>
        <w:tc>
          <w:tcPr>
            <w:tcW w:w="2410" w:type="dxa"/>
            <w:noWrap/>
            <w:hideMark/>
          </w:tcPr>
          <w:p w14:paraId="6903BDBA"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2020.10-</w:t>
            </w:r>
            <w:r>
              <w:rPr>
                <w:rFonts w:ascii="等线" w:eastAsia="等线" w:hAnsi="等线" w:cs="宋体" w:hint="eastAsia"/>
                <w:color w:val="000000"/>
                <w:kern w:val="0"/>
                <w:sz w:val="22"/>
              </w:rPr>
              <w:t>2020.</w:t>
            </w:r>
            <w:r w:rsidRPr="005C7301">
              <w:rPr>
                <w:rFonts w:ascii="等线" w:eastAsia="等线" w:hAnsi="等线" w:cs="宋体" w:hint="eastAsia"/>
                <w:color w:val="000000"/>
                <w:kern w:val="0"/>
                <w:sz w:val="22"/>
              </w:rPr>
              <w:t>11</w:t>
            </w:r>
          </w:p>
        </w:tc>
        <w:tc>
          <w:tcPr>
            <w:tcW w:w="1985" w:type="dxa"/>
          </w:tcPr>
          <w:p w14:paraId="4F92882C"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-0.0153</w:t>
            </w:r>
          </w:p>
        </w:tc>
        <w:tc>
          <w:tcPr>
            <w:tcW w:w="1984" w:type="dxa"/>
            <w:noWrap/>
            <w:hideMark/>
          </w:tcPr>
          <w:p w14:paraId="437EE6A3"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.9282</w:t>
            </w:r>
          </w:p>
        </w:tc>
      </w:tr>
      <w:tr w:rsidR="006D1D72" w:rsidRPr="005C7301" w14:paraId="7E7B4258" w14:textId="77777777" w:rsidTr="004D75EA">
        <w:trPr>
          <w:trHeight w:val="276"/>
        </w:trPr>
        <w:tc>
          <w:tcPr>
            <w:tcW w:w="2410" w:type="dxa"/>
            <w:noWrap/>
            <w:hideMark/>
          </w:tcPr>
          <w:p w14:paraId="47B415D8"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2020.12-2021.1</w:t>
            </w:r>
          </w:p>
        </w:tc>
        <w:tc>
          <w:tcPr>
            <w:tcW w:w="1985" w:type="dxa"/>
          </w:tcPr>
          <w:p w14:paraId="62B6E764"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0.8118</w:t>
            </w:r>
          </w:p>
        </w:tc>
        <w:tc>
          <w:tcPr>
            <w:tcW w:w="1984" w:type="dxa"/>
            <w:noWrap/>
            <w:hideMark/>
          </w:tcPr>
          <w:p w14:paraId="1DD7E50F"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1D868E00" w14:textId="77777777" w:rsidTr="004D75EA">
        <w:trPr>
          <w:trHeight w:val="276"/>
        </w:trPr>
        <w:tc>
          <w:tcPr>
            <w:tcW w:w="2410" w:type="dxa"/>
            <w:noWrap/>
            <w:hideMark/>
          </w:tcPr>
          <w:p w14:paraId="59AD1843"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2021.2-</w:t>
            </w:r>
            <w:r>
              <w:rPr>
                <w:rFonts w:ascii="等线" w:eastAsia="等线" w:hAnsi="等线" w:cs="宋体" w:hint="eastAsia"/>
                <w:color w:val="000000"/>
                <w:kern w:val="0"/>
                <w:sz w:val="22"/>
              </w:rPr>
              <w:t>2021.</w:t>
            </w:r>
            <w:r w:rsidRPr="005C7301">
              <w:rPr>
                <w:rFonts w:ascii="等线" w:eastAsia="等线" w:hAnsi="等线" w:cs="宋体" w:hint="eastAsia"/>
                <w:color w:val="000000"/>
                <w:kern w:val="0"/>
                <w:sz w:val="22"/>
              </w:rPr>
              <w:t>3</w:t>
            </w:r>
          </w:p>
        </w:tc>
        <w:tc>
          <w:tcPr>
            <w:tcW w:w="1985" w:type="dxa"/>
          </w:tcPr>
          <w:p w14:paraId="6088AA90"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0.8763</w:t>
            </w:r>
          </w:p>
        </w:tc>
        <w:tc>
          <w:tcPr>
            <w:tcW w:w="1984" w:type="dxa"/>
            <w:noWrap/>
            <w:hideMark/>
          </w:tcPr>
          <w:p w14:paraId="7604498D"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r w:rsidR="006D1D72" w:rsidRPr="005C7301" w14:paraId="36D21699" w14:textId="77777777" w:rsidTr="004D75EA">
        <w:trPr>
          <w:trHeight w:val="276"/>
        </w:trPr>
        <w:tc>
          <w:tcPr>
            <w:tcW w:w="2410" w:type="dxa"/>
            <w:noWrap/>
            <w:hideMark/>
          </w:tcPr>
          <w:p w14:paraId="4E025F81" w14:textId="77777777" w:rsidR="006D1D72" w:rsidRPr="005C7301" w:rsidRDefault="006D1D72" w:rsidP="004D75EA">
            <w:pPr>
              <w:widowControl/>
              <w:jc w:val="center"/>
              <w:rPr>
                <w:rFonts w:ascii="等线" w:eastAsia="等线" w:hAnsi="等线" w:cs="宋体"/>
                <w:color w:val="000000"/>
                <w:kern w:val="0"/>
                <w:sz w:val="22"/>
              </w:rPr>
            </w:pPr>
            <w:r w:rsidRPr="005C7301">
              <w:rPr>
                <w:rFonts w:ascii="等线" w:eastAsia="等线" w:hAnsi="等线" w:cs="宋体" w:hint="eastAsia"/>
                <w:color w:val="000000"/>
                <w:kern w:val="0"/>
                <w:sz w:val="22"/>
              </w:rPr>
              <w:t>2021.4-</w:t>
            </w:r>
            <w:r>
              <w:rPr>
                <w:rFonts w:ascii="等线" w:eastAsia="等线" w:hAnsi="等线" w:cs="宋体" w:hint="eastAsia"/>
                <w:color w:val="000000"/>
                <w:kern w:val="0"/>
                <w:sz w:val="22"/>
              </w:rPr>
              <w:t>2021.</w:t>
            </w:r>
            <w:r w:rsidRPr="005C7301">
              <w:rPr>
                <w:rFonts w:ascii="等线" w:eastAsia="等线" w:hAnsi="等线" w:cs="宋体" w:hint="eastAsia"/>
                <w:color w:val="000000"/>
                <w:kern w:val="0"/>
                <w:sz w:val="22"/>
              </w:rPr>
              <w:t>5</w:t>
            </w:r>
          </w:p>
        </w:tc>
        <w:tc>
          <w:tcPr>
            <w:tcW w:w="1985" w:type="dxa"/>
          </w:tcPr>
          <w:p w14:paraId="4C16B8F8"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hint="eastAsia"/>
                <w:color w:val="000000"/>
                <w:sz w:val="22"/>
              </w:rPr>
              <w:t>0.6747</w:t>
            </w:r>
          </w:p>
        </w:tc>
        <w:tc>
          <w:tcPr>
            <w:tcW w:w="1984" w:type="dxa"/>
            <w:noWrap/>
            <w:hideMark/>
          </w:tcPr>
          <w:p w14:paraId="1EC2EB85" w14:textId="77777777" w:rsidR="006D1D72" w:rsidRPr="005C7301" w:rsidRDefault="006D1D72" w:rsidP="004D75E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.0000</w:t>
            </w:r>
          </w:p>
        </w:tc>
      </w:tr>
    </w:tbl>
    <w:p w14:paraId="34B9B7C9" w14:textId="77777777" w:rsidR="006D1D72" w:rsidRDefault="006D1D72" w:rsidP="006D1D72">
      <w:pPr>
        <w:jc w:val="center"/>
      </w:pPr>
      <w:r>
        <w:rPr>
          <w:noProof/>
        </w:rPr>
        <w:drawing>
          <wp:inline distT="0" distB="0" distL="0" distR="0" wp14:anchorId="62BD538D" wp14:editId="143B2D27">
            <wp:extent cx="4572000" cy="27432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3CC6971" w14:textId="77777777" w:rsidR="006D1D72" w:rsidRDefault="006D1D72" w:rsidP="006D1D72">
      <w:r>
        <w:rPr>
          <w:rFonts w:hint="eastAsia"/>
        </w:rPr>
        <w:t>分析计算结果可以看出，在2020年8月到2020年9月这一时间段，上证指数与板块指数呈负相关。分别单独分析这段时间内上证指数与板块指数的走势可以发现，光伏建筑一体化板块指数呈上升趋势，这可能是受国家发改委、住建部在2020年7月24日发布的《关于印发绿色建筑创建行动方案的通知》以及能源部在8月27日发布的</w:t>
      </w:r>
      <w:r w:rsidRPr="008921D2">
        <w:t>《关于开展“风光水火储一体化”“源网荷储一体化”的指导意见（征求意见稿）》</w:t>
      </w:r>
      <w:r>
        <w:rPr>
          <w:rFonts w:hint="eastAsia"/>
        </w:rPr>
        <w:t>的影响，激发了人们对于光伏建筑一体化板块的信心和热情。而上证指数呈下降趋势，可能与2020年7月21日美国</w:t>
      </w:r>
      <w:r w:rsidRPr="008921D2">
        <w:t>民主党</w:t>
      </w:r>
      <w:r>
        <w:rPr>
          <w:rFonts w:hint="eastAsia"/>
        </w:rPr>
        <w:t>公布的</w:t>
      </w:r>
      <w:r w:rsidRPr="008921D2">
        <w:t>纲领</w:t>
      </w:r>
      <w:r>
        <w:rPr>
          <w:rFonts w:hint="eastAsia"/>
        </w:rPr>
        <w:t>中的一项条例——“</w:t>
      </w:r>
      <w:r w:rsidRPr="008921D2">
        <w:t>民主党将与盟国一道，发动世</w:t>
      </w:r>
      <w:r>
        <w:t>界上超过一半的经济体制衡中国，并尽可能从最强有力的位置进行谈判</w:t>
      </w:r>
      <w:r>
        <w:rPr>
          <w:rFonts w:hint="eastAsia"/>
        </w:rPr>
        <w:t>”有关。</w:t>
      </w:r>
    </w:p>
    <w:p w14:paraId="63F60291" w14:textId="77777777" w:rsidR="006D1D72" w:rsidRDefault="006D1D72" w:rsidP="006D1D72">
      <w:r>
        <w:rPr>
          <w:rFonts w:hint="eastAsia"/>
        </w:rPr>
        <w:t>2020年10月到2020年11月的皮尔逊相关系数不显著异于0，可以判断，这一时间段内上证指数与板块指数无明显的相关性。由于影响股票的因素是多方面的，股票的波动具有一定的随机性，出现这一结果也应视作正常现象。</w:t>
      </w:r>
    </w:p>
    <w:p w14:paraId="6FCD71CE" w14:textId="77777777" w:rsidR="006D1D72" w:rsidRDefault="006D1D72" w:rsidP="006D1D72">
      <w:r>
        <w:rPr>
          <w:rFonts w:hint="eastAsia"/>
        </w:rPr>
        <w:t>除以上两个特殊时间段外，可以发现，上证指数与板块指数具有较强的正相关性，在我们研究的13个时间段中，有10个时间段的皮尔逊相关系数均达到了0.6以上，这说明在长时间、大样本的情况下，上证指数的走势可以近似反映光伏建筑一体化板块指数的走势。从宏观来看，上证指数</w:t>
      </w:r>
      <w:r w:rsidRPr="00194253">
        <w:rPr>
          <w:rFonts w:hint="eastAsia"/>
        </w:rPr>
        <w:t>反映上海证券交易所上市公司的整体表现</w:t>
      </w:r>
      <w:r>
        <w:rPr>
          <w:rFonts w:hint="eastAsia"/>
        </w:rPr>
        <w:t>，当股票领域发展良好时，光伏建筑一体化板块也能在这种良好的大环境中得以发展进步，从这一观点来看，正与我们的分析相吻合。</w:t>
      </w:r>
    </w:p>
    <w:p w14:paraId="5BCC034A" w14:textId="73EAA15E" w:rsidR="003E2CC4" w:rsidRDefault="003E2CC4" w:rsidP="007849B8"/>
    <w:p w14:paraId="19AEEEC7" w14:textId="77777777" w:rsidR="00D31AEA" w:rsidRDefault="00D31AEA" w:rsidP="007849B8"/>
    <w:p w14:paraId="4813E699" w14:textId="3E826262" w:rsidR="003E2CC4" w:rsidRDefault="003E2CC4" w:rsidP="007849B8"/>
    <w:p w14:paraId="2B052B89" w14:textId="001BA2CB" w:rsidR="003E2CC4" w:rsidRDefault="003E2CC4" w:rsidP="007849B8">
      <w:r>
        <w:rPr>
          <w:rFonts w:hint="eastAsia"/>
        </w:rPr>
        <w:t>5.4问题四</w:t>
      </w:r>
    </w:p>
    <w:p w14:paraId="3F40F134" w14:textId="31A9F8B0" w:rsidR="00C24C23" w:rsidRDefault="00C24C23" w:rsidP="007849B8">
      <w:r>
        <w:rPr>
          <w:rFonts w:hint="eastAsia"/>
        </w:rPr>
        <w:t>5</w:t>
      </w:r>
      <w:r>
        <w:t xml:space="preserve">.4.1 </w:t>
      </w:r>
      <w:r>
        <w:rPr>
          <w:rFonts w:hint="eastAsia"/>
        </w:rPr>
        <w:t>股价预测</w:t>
      </w:r>
    </w:p>
    <w:p w14:paraId="60B65166" w14:textId="1D3661E0" w:rsidR="00C24C23" w:rsidRDefault="007F5DD4" w:rsidP="007849B8">
      <w:r>
        <w:rPr>
          <w:rFonts w:hint="eastAsia"/>
        </w:rPr>
        <w:t>为了得到2</w:t>
      </w:r>
      <w:r>
        <w:t>021</w:t>
      </w:r>
      <w:r>
        <w:rPr>
          <w:rFonts w:hint="eastAsia"/>
        </w:rPr>
        <w:t>年6月股票的风险评估，需先</w:t>
      </w:r>
      <w:r w:rsidR="00757E79">
        <w:rPr>
          <w:rFonts w:hint="eastAsia"/>
        </w:rPr>
        <w:t>预测出该时间段</w:t>
      </w:r>
      <w:r w:rsidR="00EC1A58">
        <w:rPr>
          <w:rFonts w:hint="eastAsia"/>
        </w:rPr>
        <w:t>股价</w:t>
      </w:r>
      <w:r w:rsidR="006E643E">
        <w:rPr>
          <w:rFonts w:hint="eastAsia"/>
        </w:rPr>
        <w:t>变化。</w:t>
      </w:r>
      <w:r w:rsidR="006032B1">
        <w:rPr>
          <w:rFonts w:hint="eastAsia"/>
        </w:rPr>
        <w:t>我们</w:t>
      </w:r>
      <w:r w:rsidR="00273D0C">
        <w:rPr>
          <w:rFonts w:hint="eastAsia"/>
        </w:rPr>
        <w:t>以当天收盘价作为本股特征值，</w:t>
      </w:r>
      <w:r w:rsidR="006032B1">
        <w:rPr>
          <w:rFonts w:hint="eastAsia"/>
        </w:rPr>
        <w:t>仍然使用问题二中给出的R</w:t>
      </w:r>
      <w:r w:rsidR="006032B1">
        <w:t>NN-ARIMA</w:t>
      </w:r>
      <w:r w:rsidR="006032B1">
        <w:rPr>
          <w:rFonts w:hint="eastAsia"/>
        </w:rPr>
        <w:t>联合预测模型，</w:t>
      </w:r>
      <w:r w:rsidR="00FB3C05">
        <w:rPr>
          <w:rFonts w:hint="eastAsia"/>
        </w:rPr>
        <w:t>在此不多做赘述</w:t>
      </w:r>
      <w:r w:rsidR="00756F1E">
        <w:rPr>
          <w:rFonts w:hint="eastAsia"/>
        </w:rPr>
        <w:t>。模型</w:t>
      </w:r>
      <w:r w:rsidR="002D4B84">
        <w:rPr>
          <w:rFonts w:hint="eastAsia"/>
        </w:rPr>
        <w:t>得到了很好的预测结果，</w:t>
      </w:r>
      <w:r w:rsidR="002D4B84" w:rsidRPr="001C542F">
        <w:rPr>
          <w:rFonts w:hint="eastAsia"/>
          <w:highlight w:val="yellow"/>
        </w:rPr>
        <w:t>如下图所示</w:t>
      </w:r>
      <w:r w:rsidR="002D4B84">
        <w:rPr>
          <w:rFonts w:hint="eastAsia"/>
        </w:rPr>
        <w:t>：</w:t>
      </w:r>
    </w:p>
    <w:p w14:paraId="2882AF99" w14:textId="77777777" w:rsidR="0061657D" w:rsidRDefault="0061657D" w:rsidP="007849B8"/>
    <w:p w14:paraId="583A77AC" w14:textId="34D9FB34" w:rsidR="003E2CC4" w:rsidRDefault="0061235A" w:rsidP="007849B8">
      <w:r>
        <w:t>5.4</w:t>
      </w:r>
      <w:r w:rsidR="00426A9A">
        <w:t>.2</w:t>
      </w:r>
      <w:r w:rsidR="006F2A1E">
        <w:rPr>
          <w:rFonts w:hint="eastAsia"/>
        </w:rPr>
        <w:t>多</w:t>
      </w:r>
      <w:r w:rsidR="00671AF6">
        <w:rPr>
          <w:rFonts w:hint="eastAsia"/>
        </w:rPr>
        <w:t>因子</w:t>
      </w:r>
      <w:r w:rsidR="006F2A1E">
        <w:rPr>
          <w:rFonts w:hint="eastAsia"/>
        </w:rPr>
        <w:t>评价模型</w:t>
      </w:r>
    </w:p>
    <w:p w14:paraId="1C8BAAA7" w14:textId="79413D54" w:rsidR="006F2A1E" w:rsidRDefault="00972BC1" w:rsidP="007849B8">
      <w:r>
        <w:rPr>
          <w:rFonts w:hint="eastAsia"/>
        </w:rPr>
        <w:t>所谓“多因子模型”，就是以影响股票收益率的因素作为投资策略中的因子，采集股票收益率最相关因素，来刻画股票收益与风险并进行选股。</w:t>
      </w:r>
      <w:r w:rsidR="00245413">
        <w:rPr>
          <w:rFonts w:hint="eastAsia"/>
        </w:rPr>
        <w:t>它是量化投资领域发展最成熟、应用最广泛的选股模型之一。</w:t>
      </w:r>
      <w:r w:rsidR="002827B7">
        <w:rPr>
          <w:rFonts w:hint="eastAsia"/>
        </w:rPr>
        <w:t>本文采用多因子打分法模型，</w:t>
      </w:r>
      <w:r w:rsidR="00885A45">
        <w:rPr>
          <w:rFonts w:hint="eastAsia"/>
        </w:rPr>
        <w:t>筛选出影响股票股价的因子，计算权值并给予分值评定。</w:t>
      </w:r>
    </w:p>
    <w:p w14:paraId="56DAA724" w14:textId="2609D87D" w:rsidR="00885A45" w:rsidRDefault="00885A45" w:rsidP="007849B8">
      <w:r>
        <w:rPr>
          <w:rFonts w:hint="eastAsia"/>
        </w:rPr>
        <w:t>首先，通过附件中3</w:t>
      </w:r>
      <w:r>
        <w:t>7</w:t>
      </w:r>
      <w:r>
        <w:rPr>
          <w:rFonts w:hint="eastAsia"/>
        </w:rPr>
        <w:t>家公司股票的数据，</w:t>
      </w:r>
      <w:r w:rsidR="00277254">
        <w:rPr>
          <w:rFonts w:hint="eastAsia"/>
        </w:rPr>
        <w:t>我们确定如下评价因子：</w:t>
      </w:r>
    </w:p>
    <w:p w14:paraId="62C2FA84" w14:textId="1FC07BA4" w:rsidR="00277254" w:rsidRDefault="001C4A4E" w:rsidP="007849B8">
      <w:r>
        <w:rPr>
          <w:rFonts w:hint="eastAsia"/>
          <w:noProof/>
        </w:rPr>
        <w:drawing>
          <wp:inline distT="0" distB="0" distL="0" distR="0" wp14:anchorId="67F881FA" wp14:editId="4D7292E3">
            <wp:extent cx="5274310" cy="3007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2">
                      <a:extLst>
                        <a:ext uri="{28A0092B-C50C-407E-A947-70E740481C1C}">
                          <a14:useLocalDpi xmlns:a14="http://schemas.microsoft.com/office/drawing/2010/main" val="0"/>
                        </a:ext>
                      </a:extLst>
                    </a:blip>
                    <a:stretch>
                      <a:fillRect/>
                    </a:stretch>
                  </pic:blipFill>
                  <pic:spPr>
                    <a:xfrm>
                      <a:off x="0" y="0"/>
                      <a:ext cx="5274310" cy="3007995"/>
                    </a:xfrm>
                    <a:prstGeom prst="rect">
                      <a:avLst/>
                    </a:prstGeom>
                  </pic:spPr>
                </pic:pic>
              </a:graphicData>
            </a:graphic>
          </wp:inline>
        </w:drawing>
      </w:r>
    </w:p>
    <w:p w14:paraId="36540723" w14:textId="0F94DCDE" w:rsidR="00976EC4" w:rsidRDefault="0061657D" w:rsidP="007849B8">
      <w:r>
        <w:rPr>
          <w:rFonts w:hint="eastAsia"/>
        </w:rPr>
        <w:t>我们根据金融经济学中的定义，结合预测出的2</w:t>
      </w:r>
      <w:r>
        <w:t>021</w:t>
      </w:r>
      <w:r>
        <w:rPr>
          <w:rFonts w:hint="eastAsia"/>
        </w:rPr>
        <w:t>年6月数据，对</w:t>
      </w:r>
      <w:r w:rsidR="00AC0BF5">
        <w:rPr>
          <w:rFonts w:hint="eastAsia"/>
        </w:rPr>
        <w:t>各因子进行计算。</w:t>
      </w:r>
      <w:r w:rsidR="00686C56">
        <w:rPr>
          <w:rFonts w:hint="eastAsia"/>
        </w:rPr>
        <w:t>宏观考虑各</w:t>
      </w:r>
      <w:r w:rsidR="00BE799A">
        <w:rPr>
          <w:rFonts w:hint="eastAsia"/>
        </w:rPr>
        <w:t>因子</w:t>
      </w:r>
      <w:r w:rsidR="00686C56">
        <w:rPr>
          <w:rFonts w:hint="eastAsia"/>
        </w:rPr>
        <w:t>各年度增减变化范围，</w:t>
      </w:r>
      <w:r w:rsidR="00823A33">
        <w:rPr>
          <w:rFonts w:hint="eastAsia"/>
        </w:rPr>
        <w:t>设置0</w:t>
      </w:r>
      <w:r w:rsidR="00823A33">
        <w:t>~10</w:t>
      </w:r>
      <w:r w:rsidR="00823A33">
        <w:rPr>
          <w:rFonts w:hint="eastAsia"/>
        </w:rPr>
        <w:t>范围内得分，</w:t>
      </w:r>
      <w:r w:rsidR="008A5291">
        <w:rPr>
          <w:rFonts w:hint="eastAsia"/>
        </w:rPr>
        <w:t>基准值为</w:t>
      </w:r>
      <w:r w:rsidR="008A5291">
        <w:t>5</w:t>
      </w:r>
      <w:r w:rsidR="008A5291">
        <w:rPr>
          <w:rFonts w:hint="eastAsia"/>
        </w:rPr>
        <w:t>分，</w:t>
      </w:r>
      <w:r w:rsidR="00FC2CF7">
        <w:rPr>
          <w:rFonts w:hint="eastAsia"/>
        </w:rPr>
        <w:t>加减策略</w:t>
      </w:r>
      <w:r w:rsidR="00976EC4">
        <w:rPr>
          <w:rFonts w:hint="eastAsia"/>
        </w:rPr>
        <w:t>具体方法如下：</w:t>
      </w:r>
    </w:p>
    <w:p w14:paraId="08BEF99C" w14:textId="2128DF19" w:rsidR="00F81913" w:rsidRDefault="00F069C6" w:rsidP="007849B8">
      <w:r w:rsidRPr="00F069C6">
        <w:rPr>
          <w:rFonts w:hint="eastAsia"/>
          <w:noProof/>
        </w:rPr>
        <w:drawing>
          <wp:inline distT="0" distB="0" distL="0" distR="0" wp14:anchorId="6EAE7B15" wp14:editId="313800DE">
            <wp:extent cx="5274310" cy="14922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1492250"/>
                    </a:xfrm>
                    <a:prstGeom prst="rect">
                      <a:avLst/>
                    </a:prstGeom>
                    <a:noFill/>
                    <a:ln>
                      <a:noFill/>
                    </a:ln>
                  </pic:spPr>
                </pic:pic>
              </a:graphicData>
            </a:graphic>
          </wp:inline>
        </w:drawing>
      </w:r>
    </w:p>
    <w:p w14:paraId="598D5263" w14:textId="3E2E707F" w:rsidR="00401FE0" w:rsidRDefault="00401FE0" w:rsidP="007849B8"/>
    <w:p w14:paraId="169E902E" w14:textId="44BB00D0" w:rsidR="00692CC8" w:rsidRDefault="00692CC8" w:rsidP="007849B8">
      <w:r>
        <w:rPr>
          <w:rFonts w:hint="eastAsia"/>
        </w:rPr>
        <w:t>5</w:t>
      </w:r>
      <w:r>
        <w:t>.4.</w:t>
      </w:r>
      <w:r w:rsidR="00426A9A">
        <w:t>3</w:t>
      </w:r>
      <w:r w:rsidR="004206D9">
        <w:t xml:space="preserve"> </w:t>
      </w:r>
      <w:r w:rsidR="00243DB6">
        <w:rPr>
          <w:rFonts w:hint="eastAsia"/>
        </w:rPr>
        <w:t>基于遗传算法的</w:t>
      </w:r>
      <w:r w:rsidR="00E238E5">
        <w:rPr>
          <w:rFonts w:hint="eastAsia"/>
        </w:rPr>
        <w:t>权数</w:t>
      </w:r>
      <w:r w:rsidR="00243DB6">
        <w:rPr>
          <w:rFonts w:hint="eastAsia"/>
        </w:rPr>
        <w:t>优化</w:t>
      </w:r>
    </w:p>
    <w:p w14:paraId="5F2DC73F" w14:textId="3C987B24" w:rsidR="004206D9" w:rsidRDefault="00C92F99" w:rsidP="007849B8">
      <w:r>
        <w:rPr>
          <w:rFonts w:hint="eastAsia"/>
        </w:rPr>
        <w:lastRenderedPageBreak/>
        <w:t>在因子选取</w:t>
      </w:r>
      <w:r w:rsidR="00997A62">
        <w:rPr>
          <w:rFonts w:hint="eastAsia"/>
        </w:rPr>
        <w:t>，计算</w:t>
      </w:r>
      <w:r>
        <w:rPr>
          <w:rFonts w:hint="eastAsia"/>
        </w:rPr>
        <w:t>及评分规则确立之后，我们需要设定各个因子的权重。</w:t>
      </w:r>
      <w:r w:rsidR="00207D2C">
        <w:rPr>
          <w:rFonts w:hint="eastAsia"/>
        </w:rPr>
        <w:t>因子的权重设立存在多种方法，如等权重、最小方差</w:t>
      </w:r>
      <w:r w:rsidR="00964076">
        <w:rPr>
          <w:rFonts w:hint="eastAsia"/>
        </w:rPr>
        <w:t>，但一般的权重确立方法对本题风险评估</w:t>
      </w:r>
      <w:r w:rsidR="00FE0CBA">
        <w:rPr>
          <w:rFonts w:hint="eastAsia"/>
        </w:rPr>
        <w:t>的契合程度都较差。</w:t>
      </w:r>
      <w:r w:rsidR="00E238E5">
        <w:rPr>
          <w:rFonts w:hint="eastAsia"/>
        </w:rPr>
        <w:t>因此，我们创造性的引入遗传算法来优化</w:t>
      </w:r>
      <w:r w:rsidR="00634B90">
        <w:rPr>
          <w:rFonts w:hint="eastAsia"/>
        </w:rPr>
        <w:t>权重</w:t>
      </w:r>
      <w:r w:rsidR="00523B14">
        <w:rPr>
          <w:rFonts w:hint="eastAsia"/>
        </w:rPr>
        <w:t>，通过不断迭代，得出最终权重。</w:t>
      </w:r>
    </w:p>
    <w:p w14:paraId="51858362" w14:textId="2D375F22" w:rsidR="00517834" w:rsidRDefault="00517834" w:rsidP="007849B8">
      <w:r>
        <w:rPr>
          <w:rFonts w:hint="eastAsia"/>
        </w:rPr>
        <w:t>遗传算法</w:t>
      </w:r>
      <w:r w:rsidR="00172B4F">
        <w:rPr>
          <w:rFonts w:hint="eastAsia"/>
        </w:rPr>
        <w:t>（</w:t>
      </w:r>
      <w:r w:rsidR="00172B4F">
        <w:t>GA</w:t>
      </w:r>
      <w:r w:rsidR="00172B4F">
        <w:rPr>
          <w:rFonts w:hint="eastAsia"/>
        </w:rPr>
        <w:t>）是根据</w:t>
      </w:r>
      <w:r w:rsidR="00172B4F" w:rsidRPr="00172B4F">
        <w:rPr>
          <w:rFonts w:hint="eastAsia"/>
        </w:rPr>
        <w:t>大自然中生物体进化规律</w:t>
      </w:r>
      <w:r w:rsidR="00822AD8">
        <w:rPr>
          <w:rFonts w:hint="eastAsia"/>
        </w:rPr>
        <w:t>，</w:t>
      </w:r>
      <w:r w:rsidR="00172B4F" w:rsidRPr="00172B4F">
        <w:rPr>
          <w:rFonts w:hint="eastAsia"/>
        </w:rPr>
        <w:t>是模拟达尔文生物进化论的自然选择</w:t>
      </w:r>
      <w:r w:rsidR="00822AD8">
        <w:rPr>
          <w:rFonts w:hint="eastAsia"/>
        </w:rPr>
        <w:t>以及</w:t>
      </w:r>
      <w:r w:rsidR="00172B4F" w:rsidRPr="00172B4F">
        <w:rPr>
          <w:rFonts w:hint="eastAsia"/>
        </w:rPr>
        <w:t>遗传学机理的生物进化过程的计算模型搜索最优解。</w:t>
      </w:r>
      <w:r w:rsidR="00E71B30">
        <w:rPr>
          <w:rFonts w:hint="eastAsia"/>
        </w:rPr>
        <w:t>具有覆盖面大、易于实行、精度与适应性高的优点。</w:t>
      </w:r>
    </w:p>
    <w:p w14:paraId="6C181355" w14:textId="77777777" w:rsidR="00526608" w:rsidRDefault="00937AE3" w:rsidP="007849B8">
      <w:r>
        <w:rPr>
          <w:rFonts w:hint="eastAsia"/>
        </w:rPr>
        <w:t>本文遗传算法的基本执行过程如下：</w:t>
      </w:r>
    </w:p>
    <w:p w14:paraId="2DE6C233" w14:textId="1850CBB2" w:rsidR="00937AE3" w:rsidRDefault="00526608" w:rsidP="007849B8">
      <w:r>
        <w:rPr>
          <w:rFonts w:hint="eastAsia"/>
        </w:rPr>
        <w:t>第一步</w:t>
      </w:r>
      <w:r w:rsidR="00FD7D15">
        <w:rPr>
          <w:rFonts w:hint="eastAsia"/>
        </w:rPr>
        <w:t>：</w:t>
      </w:r>
      <w:r>
        <w:rPr>
          <w:rFonts w:hint="eastAsia"/>
        </w:rPr>
        <w:t>初始化群体大小N，交叉概率Pe，变异概率Pm等参数，随机生成种群</w:t>
      </w:r>
    </w:p>
    <w:p w14:paraId="3A3D00E0" w14:textId="54B0014A" w:rsidR="00526608" w:rsidRDefault="00FD7D15" w:rsidP="007849B8">
      <w:r>
        <w:rPr>
          <w:rFonts w:hint="eastAsia"/>
        </w:rPr>
        <w:t>第二步：</w:t>
      </w:r>
      <w:r w:rsidR="00526608">
        <w:rPr>
          <w:rFonts w:hint="eastAsia"/>
        </w:rPr>
        <w:t>初始化</w:t>
      </w:r>
      <w:r>
        <w:rPr>
          <w:rFonts w:hint="eastAsia"/>
        </w:rPr>
        <w:t>指标权重，将初始化权重与指标预测值乘积加总得到各个股票分数</w:t>
      </w:r>
    </w:p>
    <w:p w14:paraId="7F2E5091" w14:textId="299DED55" w:rsidR="00FD7D15" w:rsidRDefault="00FD7D15" w:rsidP="007849B8">
      <w:r>
        <w:rPr>
          <w:rFonts w:hint="eastAsia"/>
        </w:rPr>
        <w:t>第三步：</w:t>
      </w:r>
      <w:r w:rsidR="00750DA7">
        <w:rPr>
          <w:rFonts w:hint="eastAsia"/>
        </w:rPr>
        <w:t>对群体每一个个体进行计算解码，将其超额收益率加总作为当前适应度，并取权重组中最高的适应度的股票作为最佳染色体</w:t>
      </w:r>
    </w:p>
    <w:p w14:paraId="2AA693EC" w14:textId="45936068" w:rsidR="00750DA7" w:rsidRDefault="00750DA7" w:rsidP="007849B8">
      <w:r>
        <w:rPr>
          <w:rFonts w:hint="eastAsia"/>
        </w:rPr>
        <w:t>第四步：</w:t>
      </w:r>
      <w:r w:rsidR="008338A9" w:rsidRPr="008338A9">
        <w:rPr>
          <w:rFonts w:hint="eastAsia"/>
        </w:rPr>
        <w:t>按照遗传策略，对第</w:t>
      </w:r>
      <w:r w:rsidR="008338A9" w:rsidRPr="008338A9">
        <w:t>t代种群X (t)进行选择操作，通过交换父子节点的交叉操作和等位基因变异操作，形成下一代的种群X(1+1)。经过多次迭代不断进行优化，得到各指标最终的权重。</w:t>
      </w:r>
    </w:p>
    <w:p w14:paraId="41E658FD" w14:textId="590FFA61" w:rsidR="008338A9" w:rsidRDefault="008338A9" w:rsidP="007849B8">
      <w:r>
        <w:rPr>
          <w:rFonts w:ascii="宋体" w:eastAsia="宋体" w:hAnsi="宋体" w:cs="宋体"/>
          <w:noProof/>
          <w:kern w:val="0"/>
          <w:sz w:val="24"/>
          <w:szCs w:val="24"/>
        </w:rPr>
        <w:drawing>
          <wp:anchor distT="0" distB="0" distL="114300" distR="114300" simplePos="0" relativeHeight="251661312" behindDoc="0" locked="0" layoutInCell="1" allowOverlap="1" wp14:anchorId="55053BF8" wp14:editId="44DA860A">
            <wp:simplePos x="0" y="0"/>
            <wp:positionH relativeFrom="column">
              <wp:posOffset>0</wp:posOffset>
            </wp:positionH>
            <wp:positionV relativeFrom="paragraph">
              <wp:posOffset>196850</wp:posOffset>
            </wp:positionV>
            <wp:extent cx="3315970" cy="3533775"/>
            <wp:effectExtent l="0" t="0" r="0" b="9525"/>
            <wp:wrapTopAndBottom/>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3315970" cy="3533775"/>
                    </a:xfrm>
                    <a:prstGeom prst="rect">
                      <a:avLst/>
                    </a:prstGeom>
                    <a:noFill/>
                    <a:ln w="9525">
                      <a:noFill/>
                    </a:ln>
                  </pic:spPr>
                </pic:pic>
              </a:graphicData>
            </a:graphic>
          </wp:anchor>
        </w:drawing>
      </w:r>
    </w:p>
    <w:p w14:paraId="218BD681" w14:textId="2A06E03E" w:rsidR="00692CC8" w:rsidRDefault="00F20603" w:rsidP="007849B8">
      <w:r>
        <w:rPr>
          <w:rFonts w:hint="eastAsia"/>
        </w:rPr>
        <w:t>对</w:t>
      </w:r>
      <w:r>
        <w:t>37</w:t>
      </w:r>
      <w:r>
        <w:rPr>
          <w:rFonts w:hint="eastAsia"/>
        </w:rPr>
        <w:t>支股票大的数据引入遗传算法，优化各因子权重，最终确定如下：</w:t>
      </w:r>
    </w:p>
    <w:p w14:paraId="64D56723" w14:textId="45BFB3A3" w:rsidR="00F20603" w:rsidRDefault="00F20603" w:rsidP="007849B8">
      <w:r w:rsidRPr="00F20603">
        <w:rPr>
          <w:rFonts w:hint="eastAsia"/>
          <w:highlight w:val="yellow"/>
        </w:rPr>
        <w:t>权重表格</w:t>
      </w:r>
    </w:p>
    <w:p w14:paraId="604058D1" w14:textId="4EC03B8E" w:rsidR="00401FE0" w:rsidRDefault="00DA5474" w:rsidP="007849B8">
      <w:r>
        <w:rPr>
          <w:rFonts w:hint="eastAsia"/>
        </w:rPr>
        <w:t>分别用得分与权重相乘，再进行加和，</w:t>
      </w:r>
      <w:r w:rsidR="002F7113">
        <w:rPr>
          <w:rFonts w:hint="eastAsia"/>
        </w:rPr>
        <w:t>得出3</w:t>
      </w:r>
      <w:r w:rsidR="002F7113">
        <w:t>7</w:t>
      </w:r>
      <w:r w:rsidR="002F7113">
        <w:rPr>
          <w:rFonts w:hint="eastAsia"/>
        </w:rPr>
        <w:t>支股票的</w:t>
      </w:r>
      <w:r w:rsidR="003F1DE2">
        <w:rPr>
          <w:rFonts w:hint="eastAsia"/>
        </w:rPr>
        <w:t>风险</w:t>
      </w:r>
      <w:r w:rsidR="002F7113">
        <w:rPr>
          <w:rFonts w:hint="eastAsia"/>
        </w:rPr>
        <w:t>得分</w:t>
      </w:r>
      <w:r w:rsidR="00FE4134">
        <w:rPr>
          <w:rFonts w:hint="eastAsia"/>
        </w:rPr>
        <w:t>，为简化表示，</w:t>
      </w:r>
      <w:r w:rsidR="00796916">
        <w:rPr>
          <w:rFonts w:hint="eastAsia"/>
        </w:rPr>
        <w:t>股票以附件出现的先后顺序为1</w:t>
      </w:r>
      <w:r w:rsidR="00796916">
        <w:t>-37</w:t>
      </w:r>
      <w:r w:rsidR="00796916">
        <w:rPr>
          <w:rFonts w:hint="eastAsia"/>
        </w:rPr>
        <w:t>序号，</w:t>
      </w:r>
      <w:r w:rsidR="00FE4134">
        <w:rPr>
          <w:rFonts w:hint="eastAsia"/>
        </w:rPr>
        <w:t>结果如下图所示</w:t>
      </w:r>
      <w:r w:rsidR="002F7113">
        <w:rPr>
          <w:rFonts w:hint="eastAsia"/>
        </w:rPr>
        <w:t>：</w:t>
      </w:r>
    </w:p>
    <w:p w14:paraId="4CFCB8BD" w14:textId="1C9F5E57" w:rsidR="00217933" w:rsidRDefault="00FE4134" w:rsidP="007849B8">
      <w:r>
        <w:rPr>
          <w:noProof/>
        </w:rPr>
        <w:lastRenderedPageBreak/>
        <w:drawing>
          <wp:inline distT="0" distB="0" distL="0" distR="0" wp14:anchorId="28F2E8A1" wp14:editId="09D324BC">
            <wp:extent cx="4572000" cy="2771775"/>
            <wp:effectExtent l="0" t="0" r="0" b="9525"/>
            <wp:docPr id="10" name="图表 10">
              <a:extLst xmlns:a="http://schemas.openxmlformats.org/drawingml/2006/main">
                <a:ext uri="{FF2B5EF4-FFF2-40B4-BE49-F238E27FC236}">
                  <a16:creationId xmlns:a16="http://schemas.microsoft.com/office/drawing/2014/main" id="{E18546E8-7420-424D-9A63-9CB3A36D7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68C729DD" w14:textId="4E4E8091" w:rsidR="00A23024" w:rsidRDefault="00A23024" w:rsidP="007849B8"/>
    <w:p w14:paraId="3FCE0EAD" w14:textId="77777777" w:rsidR="0035703E" w:rsidRDefault="00FE0C44" w:rsidP="007849B8">
      <w:r>
        <w:rPr>
          <w:rFonts w:hint="eastAsia"/>
        </w:rPr>
        <w:t>从分析结果来看，得分越高，风险越高，因此在3</w:t>
      </w:r>
      <w:r>
        <w:t>7</w:t>
      </w:r>
      <w:r>
        <w:rPr>
          <w:rFonts w:hint="eastAsia"/>
        </w:rPr>
        <w:t>支股票中，</w:t>
      </w:r>
      <w:r w:rsidR="00E05B41">
        <w:rPr>
          <w:rFonts w:hint="eastAsia"/>
        </w:rPr>
        <w:t>风险从高到低的排序结果是：</w:t>
      </w:r>
    </w:p>
    <w:p w14:paraId="34A71AF6" w14:textId="3D29A84C" w:rsidR="00FE0C44" w:rsidRDefault="00E05B41" w:rsidP="007849B8">
      <w:r>
        <w:t xml:space="preserve"> </w:t>
      </w:r>
    </w:p>
    <w:p w14:paraId="7A3B3D3D" w14:textId="2D77BA01" w:rsidR="00C25594" w:rsidRDefault="00C25594" w:rsidP="007849B8"/>
    <w:p w14:paraId="65277C8C" w14:textId="6205BC14" w:rsidR="00F84D38" w:rsidRDefault="00F84D38" w:rsidP="007849B8">
      <w:r w:rsidRPr="0035703E">
        <w:rPr>
          <w:rFonts w:hint="eastAsia"/>
          <w:highlight w:val="yellow"/>
        </w:rPr>
        <w:t>5</w:t>
      </w:r>
      <w:r w:rsidRPr="0035703E">
        <w:rPr>
          <w:highlight w:val="yellow"/>
        </w:rPr>
        <w:t>.4.</w:t>
      </w:r>
      <w:r w:rsidR="00426A9A">
        <w:rPr>
          <w:highlight w:val="yellow"/>
        </w:rPr>
        <w:t>4</w:t>
      </w:r>
      <w:r w:rsidRPr="0035703E">
        <w:rPr>
          <w:highlight w:val="yellow"/>
        </w:rPr>
        <w:t xml:space="preserve"> </w:t>
      </w:r>
      <w:r w:rsidR="0035703E" w:rsidRPr="0035703E">
        <w:rPr>
          <w:rFonts w:hint="eastAsia"/>
          <w:highlight w:val="yellow"/>
        </w:rPr>
        <w:t>多因子打分模型检验</w:t>
      </w:r>
      <w:r w:rsidR="0035703E">
        <w:rPr>
          <w:rFonts w:hint="eastAsia"/>
        </w:rPr>
        <w:t xml:space="preserve"> </w:t>
      </w:r>
      <w:r w:rsidR="0035703E">
        <w:t xml:space="preserve"> </w:t>
      </w:r>
      <w:r w:rsidR="0035703E">
        <w:rPr>
          <w:rFonts w:hint="eastAsia"/>
          <w:highlight w:val="yellow"/>
        </w:rPr>
        <w:t>（也许可以放在六）</w:t>
      </w:r>
      <w:r w:rsidR="009E7072">
        <w:rPr>
          <w:rFonts w:hint="eastAsia"/>
          <w:highlight w:val="yellow"/>
        </w:rPr>
        <w:t>不太清楚我们有没有这部分</w:t>
      </w:r>
    </w:p>
    <w:p w14:paraId="73B9D0D8" w14:textId="60068586" w:rsidR="00E05B41" w:rsidRDefault="00B74865" w:rsidP="007849B8">
      <w:r>
        <w:rPr>
          <w:rFonts w:hint="eastAsia"/>
        </w:rPr>
        <w:t>1、有效性检验</w:t>
      </w:r>
    </w:p>
    <w:p w14:paraId="753D5432" w14:textId="77777777" w:rsidR="004E1009" w:rsidRDefault="004E1009" w:rsidP="007849B8"/>
    <w:p w14:paraId="2ECF9E48" w14:textId="4CD3FF4B" w:rsidR="00B74865" w:rsidRDefault="00B74865" w:rsidP="007849B8">
      <w:r>
        <w:rPr>
          <w:rFonts w:hint="eastAsia"/>
        </w:rPr>
        <w:t>2、稳健性检验</w:t>
      </w:r>
    </w:p>
    <w:p w14:paraId="7BF5C745" w14:textId="7C39CEF5" w:rsidR="004E1009" w:rsidRDefault="004E1009" w:rsidP="007849B8">
      <w:r>
        <w:rPr>
          <w:rFonts w:hint="eastAsia"/>
        </w:rPr>
        <w:t>为了检验本文建立的多因子打分模型在不同时域的普适性，我们将所建模型</w:t>
      </w:r>
      <w:r w:rsidR="00C24C23">
        <w:rPr>
          <w:rFonts w:hint="eastAsia"/>
        </w:rPr>
        <w:t>套入</w:t>
      </w:r>
    </w:p>
    <w:p w14:paraId="50C58689" w14:textId="77777777" w:rsidR="00145C8A" w:rsidRDefault="00145C8A" w:rsidP="007849B8"/>
    <w:p w14:paraId="1B39BD42" w14:textId="0C282C57" w:rsidR="00426A9A" w:rsidRDefault="00145C8A" w:rsidP="007849B8">
      <w:r>
        <w:rPr>
          <w:rFonts w:hint="eastAsia"/>
        </w:rPr>
        <w:t>5</w:t>
      </w:r>
      <w:r>
        <w:t>.4.6</w:t>
      </w:r>
      <w:r>
        <w:rPr>
          <w:rFonts w:hint="eastAsia"/>
        </w:rPr>
        <w:t>最优投资方案</w:t>
      </w:r>
    </w:p>
    <w:p w14:paraId="14426BC8" w14:textId="6E788201" w:rsidR="00145C8A" w:rsidRDefault="00145C8A" w:rsidP="007849B8"/>
    <w:p w14:paraId="79F6778F" w14:textId="77777777" w:rsidR="00295621" w:rsidRDefault="00520E44" w:rsidP="007849B8">
      <w:r>
        <w:rPr>
          <w:rFonts w:hint="eastAsia"/>
        </w:rPr>
        <w:t>为了并确保股票买进、抛出的及时性，以上文中M</w:t>
      </w:r>
      <w:r>
        <w:t>A</w:t>
      </w:r>
      <w:r>
        <w:rPr>
          <w:rFonts w:hint="eastAsia"/>
        </w:rPr>
        <w:t>的</w:t>
      </w:r>
      <w:r w:rsidR="00047F56">
        <w:rPr>
          <w:rFonts w:hint="eastAsia"/>
        </w:rPr>
        <w:t>最短周期5天为改变投资策略的间隔，</w:t>
      </w:r>
      <w:r w:rsidR="005D1D16">
        <w:rPr>
          <w:rFonts w:hint="eastAsia"/>
        </w:rPr>
        <w:t>以基本资金1</w:t>
      </w:r>
      <w:r w:rsidR="005D1D16">
        <w:t>00</w:t>
      </w:r>
      <w:r w:rsidR="005D1D16">
        <w:rPr>
          <w:rFonts w:hint="eastAsia"/>
        </w:rPr>
        <w:t>万人民币为基础</w:t>
      </w:r>
      <w:r w:rsidR="009878BA">
        <w:rPr>
          <w:rFonts w:hint="eastAsia"/>
        </w:rPr>
        <w:t>，每5日进行一次股票选择与持有资金计算。每次选择股票时以贪心算法</w:t>
      </w:r>
      <w:r w:rsidR="00354CAB">
        <w:rPr>
          <w:rFonts w:hint="eastAsia"/>
        </w:rPr>
        <w:t>的思想为指导，总是选择</w:t>
      </w:r>
      <w:r w:rsidR="000C4A73">
        <w:rPr>
          <w:rFonts w:hint="eastAsia"/>
        </w:rPr>
        <w:t>该周期内</w:t>
      </w:r>
      <w:r w:rsidR="0026680B">
        <w:rPr>
          <w:rFonts w:hint="eastAsia"/>
        </w:rPr>
        <w:t>预测股价涨幅最大的股票</w:t>
      </w:r>
      <w:r w:rsidR="003A34ED">
        <w:rPr>
          <w:rFonts w:hint="eastAsia"/>
        </w:rPr>
        <w:t>，并</w:t>
      </w:r>
      <w:r w:rsidR="007406A4">
        <w:rPr>
          <w:rFonts w:hint="eastAsia"/>
        </w:rPr>
        <w:t>考虑风险对投资的影响</w:t>
      </w:r>
      <w:r w:rsidR="003A34ED">
        <w:rPr>
          <w:rFonts w:hint="eastAsia"/>
        </w:rPr>
        <w:t>，</w:t>
      </w:r>
      <w:r w:rsidR="003D7425">
        <w:rPr>
          <w:rFonts w:hint="eastAsia"/>
        </w:rPr>
        <w:t>以每期3</w:t>
      </w:r>
      <w:r w:rsidR="003D7425">
        <w:t>7</w:t>
      </w:r>
      <w:r w:rsidR="003D7425">
        <w:rPr>
          <w:rFonts w:hint="eastAsia"/>
        </w:rPr>
        <w:t>支股票的增幅与风险之积的均值作为阈值</w:t>
      </w:r>
      <w:r w:rsidR="00AC5121">
        <w:rPr>
          <w:rFonts w:hint="eastAsia"/>
        </w:rPr>
        <w:t>，进行取舍</w:t>
      </w:r>
      <w:r w:rsidR="003D7425">
        <w:rPr>
          <w:rFonts w:hint="eastAsia"/>
        </w:rPr>
        <w:t>，</w:t>
      </w:r>
      <w:r w:rsidR="00477530">
        <w:rPr>
          <w:rFonts w:hint="eastAsia"/>
        </w:rPr>
        <w:t>做到分散投资，避免“孤注一掷”</w:t>
      </w:r>
      <w:r w:rsidR="00295621">
        <w:rPr>
          <w:rFonts w:hint="eastAsia"/>
        </w:rPr>
        <w:t>。</w:t>
      </w:r>
    </w:p>
    <w:p w14:paraId="202058DA" w14:textId="2904F8D3" w:rsidR="00520E44" w:rsidRDefault="00295621" w:rsidP="007849B8">
      <w:r>
        <w:rPr>
          <w:rFonts w:hint="eastAsia"/>
        </w:rPr>
        <w:t>我们给出一种涨幅-风险综合考虑的决策模型，</w:t>
      </w:r>
      <w:r w:rsidR="00351A87">
        <w:rPr>
          <w:rFonts w:hint="eastAsia"/>
        </w:rPr>
        <w:t>具体选择方法如下：</w:t>
      </w:r>
    </w:p>
    <w:p w14:paraId="4E533204" w14:textId="6332BA38" w:rsidR="00DB0A76" w:rsidRDefault="00214890" w:rsidP="007849B8">
      <w:r>
        <w:rPr>
          <w:rFonts w:hint="eastAsia"/>
        </w:rPr>
        <w:lastRenderedPageBreak/>
        <w:t xml:space="preserve"> </w:t>
      </w:r>
      <w:r w:rsidR="009E7072">
        <w:rPr>
          <w:rFonts w:hint="eastAsia"/>
          <w:noProof/>
        </w:rPr>
        <w:drawing>
          <wp:inline distT="0" distB="0" distL="0" distR="0" wp14:anchorId="2C1ECFE2" wp14:editId="467D840B">
            <wp:extent cx="3128223" cy="50755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131589" cy="5080986"/>
                    </a:xfrm>
                    <a:prstGeom prst="rect">
                      <a:avLst/>
                    </a:prstGeom>
                  </pic:spPr>
                </pic:pic>
              </a:graphicData>
            </a:graphic>
          </wp:inline>
        </w:drawing>
      </w:r>
    </w:p>
    <w:p w14:paraId="46DE87D2" w14:textId="3EB55E1A" w:rsidR="00AE48E8" w:rsidRDefault="00AE48E8" w:rsidP="007849B8">
      <w:r>
        <w:rPr>
          <w:rFonts w:hint="eastAsia"/>
        </w:rPr>
        <w:t>做出六月份的最佳投资方案及资金计算</w:t>
      </w:r>
    </w:p>
    <w:tbl>
      <w:tblPr>
        <w:tblStyle w:val="ab"/>
        <w:tblW w:w="9346" w:type="dxa"/>
        <w:tblLook w:val="04A0" w:firstRow="1" w:lastRow="0" w:firstColumn="1" w:lastColumn="0" w:noHBand="0" w:noVBand="1"/>
      </w:tblPr>
      <w:tblGrid>
        <w:gridCol w:w="1206"/>
        <w:gridCol w:w="960"/>
        <w:gridCol w:w="1280"/>
        <w:gridCol w:w="1380"/>
        <w:gridCol w:w="1520"/>
        <w:gridCol w:w="1520"/>
        <w:gridCol w:w="1480"/>
      </w:tblGrid>
      <w:tr w:rsidR="00503B5A" w:rsidRPr="002F41FE" w14:paraId="051248C1" w14:textId="77777777" w:rsidTr="00503B5A">
        <w:trPr>
          <w:cnfStyle w:val="100000000000" w:firstRow="1" w:lastRow="0" w:firstColumn="0" w:lastColumn="0" w:oddVBand="0" w:evenVBand="0" w:oddHBand="0" w:evenHBand="0" w:firstRowFirstColumn="0" w:firstRowLastColumn="0" w:lastRowFirstColumn="0" w:lastRowLastColumn="0"/>
          <w:trHeight w:val="288"/>
        </w:trPr>
        <w:tc>
          <w:tcPr>
            <w:tcW w:w="1206" w:type="dxa"/>
            <w:noWrap/>
            <w:hideMark/>
          </w:tcPr>
          <w:p w14:paraId="336A9B23" w14:textId="19127BA5" w:rsidR="00503B5A" w:rsidRPr="002F41FE" w:rsidRDefault="00503B5A" w:rsidP="004D75EA">
            <w:pPr>
              <w:widowControl/>
              <w:jc w:val="center"/>
              <w:rPr>
                <w:rFonts w:ascii="宋体" w:hAnsi="宋体" w:cs="宋体"/>
                <w:b/>
                <w:bCs/>
                <w:color w:val="000000"/>
                <w:kern w:val="0"/>
                <w:sz w:val="22"/>
              </w:rPr>
            </w:pPr>
            <w:r>
              <w:rPr>
                <w:rFonts w:ascii="宋体" w:hAnsi="宋体" w:cs="宋体" w:hint="eastAsia"/>
                <w:b/>
                <w:bCs/>
                <w:color w:val="000000"/>
                <w:kern w:val="0"/>
                <w:sz w:val="22"/>
              </w:rPr>
              <w:t>股票代码</w:t>
            </w:r>
          </w:p>
        </w:tc>
        <w:tc>
          <w:tcPr>
            <w:tcW w:w="960" w:type="dxa"/>
            <w:noWrap/>
            <w:hideMark/>
          </w:tcPr>
          <w:p w14:paraId="1BCE67DB" w14:textId="6C09FFEB" w:rsidR="00503B5A" w:rsidRPr="002F41FE" w:rsidRDefault="00503B5A" w:rsidP="004D75EA">
            <w:pPr>
              <w:widowControl/>
              <w:jc w:val="center"/>
              <w:rPr>
                <w:rFonts w:ascii="宋体" w:hAnsi="宋体" w:cs="宋体"/>
                <w:b/>
                <w:bCs/>
                <w:color w:val="000000"/>
                <w:kern w:val="0"/>
                <w:sz w:val="22"/>
              </w:rPr>
            </w:pPr>
            <w:r>
              <w:rPr>
                <w:rFonts w:ascii="宋体" w:hAnsi="宋体" w:cs="宋体" w:hint="eastAsia"/>
                <w:b/>
                <w:bCs/>
                <w:color w:val="000000"/>
                <w:kern w:val="0"/>
                <w:sz w:val="22"/>
              </w:rPr>
              <w:t>得分</w:t>
            </w:r>
          </w:p>
        </w:tc>
        <w:tc>
          <w:tcPr>
            <w:tcW w:w="1280" w:type="dxa"/>
            <w:noWrap/>
            <w:hideMark/>
          </w:tcPr>
          <w:p w14:paraId="587303BD" w14:textId="6FB37E1D" w:rsidR="00503B5A" w:rsidRPr="002F41FE" w:rsidRDefault="00503B5A" w:rsidP="004D75EA">
            <w:pPr>
              <w:widowControl/>
              <w:jc w:val="left"/>
              <w:rPr>
                <w:rFonts w:ascii="宋体" w:hAnsi="宋体" w:cs="宋体"/>
                <w:color w:val="000000"/>
                <w:kern w:val="0"/>
                <w:sz w:val="22"/>
              </w:rPr>
            </w:pPr>
            <w:r>
              <w:rPr>
                <w:rFonts w:ascii="宋体" w:hAnsi="宋体" w:cs="宋体" w:hint="eastAsia"/>
                <w:color w:val="000000"/>
                <w:kern w:val="0"/>
                <w:sz w:val="22"/>
              </w:rPr>
              <w:t>6.1-6.4</w:t>
            </w:r>
            <w:r w:rsidRPr="002F41FE">
              <w:rPr>
                <w:rFonts w:ascii="宋体" w:hAnsi="宋体" w:cs="宋体" w:hint="eastAsia"/>
                <w:color w:val="000000"/>
                <w:kern w:val="0"/>
                <w:sz w:val="22"/>
              </w:rPr>
              <w:t>涨幅</w:t>
            </w:r>
          </w:p>
        </w:tc>
        <w:tc>
          <w:tcPr>
            <w:tcW w:w="1380" w:type="dxa"/>
            <w:noWrap/>
            <w:hideMark/>
          </w:tcPr>
          <w:p w14:paraId="4F6358EE" w14:textId="19DDF979" w:rsidR="00503B5A" w:rsidRPr="002F41FE" w:rsidRDefault="00503B5A" w:rsidP="004D75EA">
            <w:pPr>
              <w:widowControl/>
              <w:jc w:val="left"/>
              <w:rPr>
                <w:rFonts w:ascii="宋体" w:hAnsi="宋体" w:cs="宋体"/>
                <w:color w:val="000000"/>
                <w:kern w:val="0"/>
                <w:sz w:val="22"/>
              </w:rPr>
            </w:pPr>
            <w:r>
              <w:rPr>
                <w:rFonts w:ascii="宋体" w:hAnsi="宋体" w:cs="宋体" w:hint="eastAsia"/>
                <w:color w:val="000000"/>
                <w:kern w:val="0"/>
                <w:sz w:val="22"/>
              </w:rPr>
              <w:t>6.7-6.11</w:t>
            </w:r>
            <w:r w:rsidRPr="002F41FE">
              <w:rPr>
                <w:rFonts w:ascii="宋体" w:hAnsi="宋体" w:cs="宋体" w:hint="eastAsia"/>
                <w:color w:val="000000"/>
                <w:kern w:val="0"/>
                <w:sz w:val="22"/>
              </w:rPr>
              <w:t>涨幅</w:t>
            </w:r>
          </w:p>
        </w:tc>
        <w:tc>
          <w:tcPr>
            <w:tcW w:w="1520" w:type="dxa"/>
            <w:noWrap/>
            <w:hideMark/>
          </w:tcPr>
          <w:p w14:paraId="31577230" w14:textId="703D30E7" w:rsidR="00503B5A" w:rsidRPr="002F41FE" w:rsidRDefault="00503B5A" w:rsidP="004D75EA">
            <w:pPr>
              <w:widowControl/>
              <w:jc w:val="left"/>
              <w:rPr>
                <w:rFonts w:ascii="宋体" w:hAnsi="宋体" w:cs="宋体"/>
                <w:color w:val="000000"/>
                <w:kern w:val="0"/>
                <w:sz w:val="22"/>
              </w:rPr>
            </w:pPr>
            <w:r>
              <w:rPr>
                <w:rFonts w:ascii="宋体" w:hAnsi="宋体" w:cs="宋体" w:hint="eastAsia"/>
                <w:color w:val="000000"/>
                <w:kern w:val="0"/>
                <w:sz w:val="22"/>
              </w:rPr>
              <w:t>6.15-6.18</w:t>
            </w:r>
            <w:r w:rsidRPr="002F41FE">
              <w:rPr>
                <w:rFonts w:ascii="宋体" w:hAnsi="宋体" w:cs="宋体" w:hint="eastAsia"/>
                <w:color w:val="000000"/>
                <w:kern w:val="0"/>
                <w:sz w:val="22"/>
              </w:rPr>
              <w:t>涨幅</w:t>
            </w:r>
          </w:p>
        </w:tc>
        <w:tc>
          <w:tcPr>
            <w:tcW w:w="1520" w:type="dxa"/>
            <w:noWrap/>
            <w:hideMark/>
          </w:tcPr>
          <w:p w14:paraId="419B2717"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6.21-6.25</w:t>
            </w:r>
            <w:r w:rsidRPr="002F41FE">
              <w:rPr>
                <w:rFonts w:ascii="宋体" w:hAnsi="宋体" w:cs="宋体" w:hint="eastAsia"/>
                <w:color w:val="000000"/>
                <w:kern w:val="0"/>
                <w:sz w:val="22"/>
              </w:rPr>
              <w:t>涨幅</w:t>
            </w:r>
          </w:p>
        </w:tc>
        <w:tc>
          <w:tcPr>
            <w:tcW w:w="1480" w:type="dxa"/>
            <w:noWrap/>
            <w:hideMark/>
          </w:tcPr>
          <w:p w14:paraId="783785BB" w14:textId="2478DC2D" w:rsidR="00503B5A" w:rsidRPr="002F41FE" w:rsidRDefault="00503B5A" w:rsidP="004D75EA">
            <w:pPr>
              <w:widowControl/>
              <w:jc w:val="left"/>
              <w:rPr>
                <w:rFonts w:ascii="宋体" w:hAnsi="宋体" w:cs="宋体"/>
                <w:color w:val="000000"/>
                <w:kern w:val="0"/>
                <w:sz w:val="22"/>
              </w:rPr>
            </w:pPr>
            <w:r>
              <w:rPr>
                <w:rFonts w:ascii="宋体" w:hAnsi="宋体" w:cs="宋体" w:hint="eastAsia"/>
                <w:color w:val="000000"/>
                <w:kern w:val="0"/>
                <w:sz w:val="22"/>
              </w:rPr>
              <w:t>6.28</w:t>
            </w:r>
            <w:r w:rsidRPr="002F41FE">
              <w:rPr>
                <w:rFonts w:ascii="宋体" w:hAnsi="宋体" w:cs="宋体" w:hint="eastAsia"/>
                <w:color w:val="000000"/>
                <w:kern w:val="0"/>
                <w:sz w:val="22"/>
              </w:rPr>
              <w:t>-6.30</w:t>
            </w:r>
            <w:r w:rsidRPr="002F41FE">
              <w:rPr>
                <w:rFonts w:ascii="宋体" w:hAnsi="宋体" w:cs="宋体" w:hint="eastAsia"/>
                <w:color w:val="000000"/>
                <w:kern w:val="0"/>
                <w:sz w:val="22"/>
              </w:rPr>
              <w:t>涨幅</w:t>
            </w:r>
          </w:p>
        </w:tc>
      </w:tr>
      <w:tr w:rsidR="00503B5A" w:rsidRPr="002F41FE" w14:paraId="2660837D" w14:textId="77777777" w:rsidTr="00503B5A">
        <w:trPr>
          <w:trHeight w:val="288"/>
        </w:trPr>
        <w:tc>
          <w:tcPr>
            <w:tcW w:w="1206" w:type="dxa"/>
            <w:noWrap/>
            <w:hideMark/>
          </w:tcPr>
          <w:p w14:paraId="297DC44B"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000012.SZ</w:t>
            </w:r>
          </w:p>
        </w:tc>
        <w:tc>
          <w:tcPr>
            <w:tcW w:w="960" w:type="dxa"/>
            <w:noWrap/>
            <w:hideMark/>
          </w:tcPr>
          <w:p w14:paraId="58E0433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71</w:t>
            </w:r>
          </w:p>
        </w:tc>
        <w:tc>
          <w:tcPr>
            <w:tcW w:w="1280" w:type="dxa"/>
            <w:noWrap/>
            <w:hideMark/>
          </w:tcPr>
          <w:p w14:paraId="2E7F8A3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-0.3894 </w:t>
            </w:r>
          </w:p>
        </w:tc>
        <w:tc>
          <w:tcPr>
            <w:tcW w:w="1380" w:type="dxa"/>
            <w:noWrap/>
            <w:hideMark/>
          </w:tcPr>
          <w:p w14:paraId="6DE750A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0.4240 </w:t>
            </w:r>
          </w:p>
        </w:tc>
        <w:tc>
          <w:tcPr>
            <w:tcW w:w="1520" w:type="dxa"/>
            <w:noWrap/>
            <w:hideMark/>
          </w:tcPr>
          <w:p w14:paraId="5E0CFDB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0.4271 </w:t>
            </w:r>
          </w:p>
        </w:tc>
        <w:tc>
          <w:tcPr>
            <w:tcW w:w="1520" w:type="dxa"/>
            <w:noWrap/>
            <w:hideMark/>
          </w:tcPr>
          <w:p w14:paraId="492B0F1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0.4318 </w:t>
            </w:r>
          </w:p>
        </w:tc>
        <w:tc>
          <w:tcPr>
            <w:tcW w:w="1480" w:type="dxa"/>
            <w:noWrap/>
            <w:hideMark/>
          </w:tcPr>
          <w:p w14:paraId="13EDD71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0.4267 </w:t>
            </w:r>
          </w:p>
        </w:tc>
      </w:tr>
      <w:tr w:rsidR="00503B5A" w:rsidRPr="002F41FE" w14:paraId="09590F52" w14:textId="77777777" w:rsidTr="00503B5A">
        <w:trPr>
          <w:trHeight w:val="288"/>
        </w:trPr>
        <w:tc>
          <w:tcPr>
            <w:tcW w:w="1206" w:type="dxa"/>
            <w:noWrap/>
            <w:hideMark/>
          </w:tcPr>
          <w:p w14:paraId="5FA123DB"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000027.SZ</w:t>
            </w:r>
          </w:p>
        </w:tc>
        <w:tc>
          <w:tcPr>
            <w:tcW w:w="960" w:type="dxa"/>
            <w:noWrap/>
            <w:hideMark/>
          </w:tcPr>
          <w:p w14:paraId="43E9736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49</w:t>
            </w:r>
          </w:p>
        </w:tc>
        <w:tc>
          <w:tcPr>
            <w:tcW w:w="1280" w:type="dxa"/>
            <w:noWrap/>
            <w:hideMark/>
          </w:tcPr>
          <w:p w14:paraId="6DFD375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1.5708 </w:t>
            </w:r>
          </w:p>
        </w:tc>
        <w:tc>
          <w:tcPr>
            <w:tcW w:w="1380" w:type="dxa"/>
            <w:noWrap/>
            <w:hideMark/>
          </w:tcPr>
          <w:p w14:paraId="2642022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0.7933 </w:t>
            </w:r>
          </w:p>
        </w:tc>
        <w:tc>
          <w:tcPr>
            <w:tcW w:w="1520" w:type="dxa"/>
            <w:noWrap/>
            <w:hideMark/>
          </w:tcPr>
          <w:p w14:paraId="4D58F59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0.7377 </w:t>
            </w:r>
          </w:p>
        </w:tc>
        <w:tc>
          <w:tcPr>
            <w:tcW w:w="1520" w:type="dxa"/>
            <w:noWrap/>
            <w:hideMark/>
          </w:tcPr>
          <w:p w14:paraId="1AB0493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0.7675 </w:t>
            </w:r>
          </w:p>
        </w:tc>
        <w:tc>
          <w:tcPr>
            <w:tcW w:w="1480" w:type="dxa"/>
            <w:noWrap/>
            <w:hideMark/>
          </w:tcPr>
          <w:p w14:paraId="77F4E74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0.7858 </w:t>
            </w:r>
          </w:p>
        </w:tc>
      </w:tr>
      <w:tr w:rsidR="00503B5A" w:rsidRPr="002F41FE" w14:paraId="48AFADDE" w14:textId="77777777" w:rsidTr="00503B5A">
        <w:trPr>
          <w:trHeight w:val="288"/>
        </w:trPr>
        <w:tc>
          <w:tcPr>
            <w:tcW w:w="1206" w:type="dxa"/>
            <w:noWrap/>
            <w:hideMark/>
          </w:tcPr>
          <w:p w14:paraId="38AD7AC1"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000040.SZ</w:t>
            </w:r>
          </w:p>
        </w:tc>
        <w:tc>
          <w:tcPr>
            <w:tcW w:w="960" w:type="dxa"/>
            <w:noWrap/>
            <w:hideMark/>
          </w:tcPr>
          <w:p w14:paraId="724B204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29</w:t>
            </w:r>
          </w:p>
        </w:tc>
        <w:tc>
          <w:tcPr>
            <w:tcW w:w="1280" w:type="dxa"/>
            <w:noWrap/>
            <w:hideMark/>
          </w:tcPr>
          <w:p w14:paraId="4721CEF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0.0593 </w:t>
            </w:r>
          </w:p>
        </w:tc>
        <w:tc>
          <w:tcPr>
            <w:tcW w:w="1380" w:type="dxa"/>
            <w:noWrap/>
            <w:hideMark/>
          </w:tcPr>
          <w:p w14:paraId="770D696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1.0248 </w:t>
            </w:r>
          </w:p>
        </w:tc>
        <w:tc>
          <w:tcPr>
            <w:tcW w:w="1520" w:type="dxa"/>
            <w:noWrap/>
            <w:hideMark/>
          </w:tcPr>
          <w:p w14:paraId="5890F9B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-1.3870 </w:t>
            </w:r>
          </w:p>
        </w:tc>
        <w:tc>
          <w:tcPr>
            <w:tcW w:w="1520" w:type="dxa"/>
            <w:noWrap/>
            <w:hideMark/>
          </w:tcPr>
          <w:p w14:paraId="75F3A4B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-0.5300 </w:t>
            </w:r>
          </w:p>
        </w:tc>
        <w:tc>
          <w:tcPr>
            <w:tcW w:w="1480" w:type="dxa"/>
            <w:noWrap/>
            <w:hideMark/>
          </w:tcPr>
          <w:p w14:paraId="1F02C79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-0.1258 </w:t>
            </w:r>
          </w:p>
        </w:tc>
      </w:tr>
      <w:tr w:rsidR="00503B5A" w:rsidRPr="002F41FE" w14:paraId="64718D68" w14:textId="77777777" w:rsidTr="00503B5A">
        <w:trPr>
          <w:trHeight w:val="288"/>
        </w:trPr>
        <w:tc>
          <w:tcPr>
            <w:tcW w:w="1206" w:type="dxa"/>
            <w:noWrap/>
            <w:hideMark/>
          </w:tcPr>
          <w:p w14:paraId="16ADF877"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000055.SZ</w:t>
            </w:r>
          </w:p>
        </w:tc>
        <w:tc>
          <w:tcPr>
            <w:tcW w:w="960" w:type="dxa"/>
            <w:noWrap/>
            <w:hideMark/>
          </w:tcPr>
          <w:p w14:paraId="2B21A66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30</w:t>
            </w:r>
          </w:p>
        </w:tc>
        <w:tc>
          <w:tcPr>
            <w:tcW w:w="1280" w:type="dxa"/>
            <w:noWrap/>
            <w:hideMark/>
          </w:tcPr>
          <w:p w14:paraId="44F9879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0.7277 </w:t>
            </w:r>
          </w:p>
        </w:tc>
        <w:tc>
          <w:tcPr>
            <w:tcW w:w="1380" w:type="dxa"/>
            <w:noWrap/>
            <w:hideMark/>
          </w:tcPr>
          <w:p w14:paraId="33D3CBA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0.4648 </w:t>
            </w:r>
          </w:p>
        </w:tc>
        <w:tc>
          <w:tcPr>
            <w:tcW w:w="1520" w:type="dxa"/>
            <w:noWrap/>
            <w:hideMark/>
          </w:tcPr>
          <w:p w14:paraId="5F39968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0.2668 </w:t>
            </w:r>
          </w:p>
        </w:tc>
        <w:tc>
          <w:tcPr>
            <w:tcW w:w="1520" w:type="dxa"/>
            <w:noWrap/>
            <w:hideMark/>
          </w:tcPr>
          <w:p w14:paraId="2BE4857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0.0372 </w:t>
            </w:r>
          </w:p>
        </w:tc>
        <w:tc>
          <w:tcPr>
            <w:tcW w:w="1480" w:type="dxa"/>
            <w:noWrap/>
            <w:hideMark/>
          </w:tcPr>
          <w:p w14:paraId="78E0D5A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-0.0059 </w:t>
            </w:r>
          </w:p>
        </w:tc>
      </w:tr>
      <w:tr w:rsidR="00503B5A" w:rsidRPr="002F41FE" w14:paraId="37501F0E" w14:textId="77777777" w:rsidTr="00503B5A">
        <w:trPr>
          <w:trHeight w:val="288"/>
        </w:trPr>
        <w:tc>
          <w:tcPr>
            <w:tcW w:w="1206" w:type="dxa"/>
            <w:noWrap/>
            <w:hideMark/>
          </w:tcPr>
          <w:p w14:paraId="734AC6E3"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600710.SH</w:t>
            </w:r>
          </w:p>
        </w:tc>
        <w:tc>
          <w:tcPr>
            <w:tcW w:w="960" w:type="dxa"/>
            <w:noWrap/>
            <w:hideMark/>
          </w:tcPr>
          <w:p w14:paraId="16BCF93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60</w:t>
            </w:r>
          </w:p>
        </w:tc>
        <w:tc>
          <w:tcPr>
            <w:tcW w:w="1280" w:type="dxa"/>
            <w:noWrap/>
            <w:hideMark/>
          </w:tcPr>
          <w:p w14:paraId="6AB070B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-0.0263 </w:t>
            </w:r>
          </w:p>
        </w:tc>
        <w:tc>
          <w:tcPr>
            <w:tcW w:w="1380" w:type="dxa"/>
            <w:noWrap/>
            <w:hideMark/>
          </w:tcPr>
          <w:p w14:paraId="0DE0105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0.1281 </w:t>
            </w:r>
          </w:p>
        </w:tc>
        <w:tc>
          <w:tcPr>
            <w:tcW w:w="1520" w:type="dxa"/>
            <w:noWrap/>
            <w:hideMark/>
          </w:tcPr>
          <w:p w14:paraId="67E0A65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0.2430 </w:t>
            </w:r>
          </w:p>
        </w:tc>
        <w:tc>
          <w:tcPr>
            <w:tcW w:w="1520" w:type="dxa"/>
            <w:noWrap/>
            <w:hideMark/>
          </w:tcPr>
          <w:p w14:paraId="2FBA9CE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0.3919 </w:t>
            </w:r>
          </w:p>
        </w:tc>
        <w:tc>
          <w:tcPr>
            <w:tcW w:w="1480" w:type="dxa"/>
            <w:noWrap/>
            <w:hideMark/>
          </w:tcPr>
          <w:p w14:paraId="25227E3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0.4224 </w:t>
            </w:r>
          </w:p>
        </w:tc>
      </w:tr>
      <w:tr w:rsidR="00503B5A" w:rsidRPr="002F41FE" w14:paraId="427E9930" w14:textId="77777777" w:rsidTr="00503B5A">
        <w:trPr>
          <w:trHeight w:val="288"/>
        </w:trPr>
        <w:tc>
          <w:tcPr>
            <w:tcW w:w="1206" w:type="dxa"/>
            <w:noWrap/>
            <w:hideMark/>
          </w:tcPr>
          <w:p w14:paraId="17C41C3A"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000058.SZ</w:t>
            </w:r>
          </w:p>
        </w:tc>
        <w:tc>
          <w:tcPr>
            <w:tcW w:w="960" w:type="dxa"/>
            <w:noWrap/>
            <w:hideMark/>
          </w:tcPr>
          <w:p w14:paraId="597BA32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38</w:t>
            </w:r>
          </w:p>
        </w:tc>
        <w:tc>
          <w:tcPr>
            <w:tcW w:w="1280" w:type="dxa"/>
            <w:noWrap/>
            <w:hideMark/>
          </w:tcPr>
          <w:p w14:paraId="772DFC7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-0.5989 </w:t>
            </w:r>
          </w:p>
        </w:tc>
        <w:tc>
          <w:tcPr>
            <w:tcW w:w="1380" w:type="dxa"/>
            <w:noWrap/>
            <w:hideMark/>
          </w:tcPr>
          <w:p w14:paraId="3A3AFBA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-0.0540 </w:t>
            </w:r>
          </w:p>
        </w:tc>
        <w:tc>
          <w:tcPr>
            <w:tcW w:w="1520" w:type="dxa"/>
            <w:noWrap/>
            <w:hideMark/>
          </w:tcPr>
          <w:p w14:paraId="03D620B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0.4337 </w:t>
            </w:r>
          </w:p>
        </w:tc>
        <w:tc>
          <w:tcPr>
            <w:tcW w:w="1520" w:type="dxa"/>
            <w:noWrap/>
            <w:hideMark/>
          </w:tcPr>
          <w:p w14:paraId="4F66D14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-0.5856 </w:t>
            </w:r>
          </w:p>
        </w:tc>
        <w:tc>
          <w:tcPr>
            <w:tcW w:w="1480" w:type="dxa"/>
            <w:noWrap/>
            <w:hideMark/>
          </w:tcPr>
          <w:p w14:paraId="36785C6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0.1945 </w:t>
            </w:r>
          </w:p>
        </w:tc>
      </w:tr>
      <w:tr w:rsidR="00503B5A" w:rsidRPr="002F41FE" w14:paraId="52020049" w14:textId="77777777" w:rsidTr="00503B5A">
        <w:trPr>
          <w:trHeight w:val="288"/>
        </w:trPr>
        <w:tc>
          <w:tcPr>
            <w:tcW w:w="1206" w:type="dxa"/>
            <w:noWrap/>
            <w:hideMark/>
          </w:tcPr>
          <w:p w14:paraId="0DC7AD3E"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600496.SH</w:t>
            </w:r>
          </w:p>
        </w:tc>
        <w:tc>
          <w:tcPr>
            <w:tcW w:w="960" w:type="dxa"/>
            <w:noWrap/>
            <w:hideMark/>
          </w:tcPr>
          <w:p w14:paraId="404DDF1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36</w:t>
            </w:r>
          </w:p>
        </w:tc>
        <w:tc>
          <w:tcPr>
            <w:tcW w:w="1280" w:type="dxa"/>
            <w:noWrap/>
            <w:hideMark/>
          </w:tcPr>
          <w:p w14:paraId="06745EB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-1.5908 </w:t>
            </w:r>
          </w:p>
        </w:tc>
        <w:tc>
          <w:tcPr>
            <w:tcW w:w="1380" w:type="dxa"/>
            <w:noWrap/>
            <w:hideMark/>
          </w:tcPr>
          <w:p w14:paraId="3962081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-0.2749 </w:t>
            </w:r>
          </w:p>
        </w:tc>
        <w:tc>
          <w:tcPr>
            <w:tcW w:w="1520" w:type="dxa"/>
            <w:noWrap/>
            <w:hideMark/>
          </w:tcPr>
          <w:p w14:paraId="00DC448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0.1147 </w:t>
            </w:r>
          </w:p>
        </w:tc>
        <w:tc>
          <w:tcPr>
            <w:tcW w:w="1520" w:type="dxa"/>
            <w:noWrap/>
            <w:hideMark/>
          </w:tcPr>
          <w:p w14:paraId="3C7439E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-0.2781 </w:t>
            </w:r>
          </w:p>
        </w:tc>
        <w:tc>
          <w:tcPr>
            <w:tcW w:w="1480" w:type="dxa"/>
            <w:noWrap/>
            <w:hideMark/>
          </w:tcPr>
          <w:p w14:paraId="51DE236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-0.2400 </w:t>
            </w:r>
          </w:p>
        </w:tc>
      </w:tr>
      <w:tr w:rsidR="00503B5A" w:rsidRPr="002F41FE" w14:paraId="57E4E961" w14:textId="77777777" w:rsidTr="00503B5A">
        <w:trPr>
          <w:trHeight w:val="288"/>
        </w:trPr>
        <w:tc>
          <w:tcPr>
            <w:tcW w:w="1206" w:type="dxa"/>
            <w:noWrap/>
            <w:hideMark/>
          </w:tcPr>
          <w:p w14:paraId="31D1DBBE"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002047.SZ</w:t>
            </w:r>
          </w:p>
        </w:tc>
        <w:tc>
          <w:tcPr>
            <w:tcW w:w="960" w:type="dxa"/>
            <w:noWrap/>
            <w:hideMark/>
          </w:tcPr>
          <w:p w14:paraId="5AE7DF1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39</w:t>
            </w:r>
          </w:p>
        </w:tc>
        <w:tc>
          <w:tcPr>
            <w:tcW w:w="1280" w:type="dxa"/>
            <w:noWrap/>
            <w:hideMark/>
          </w:tcPr>
          <w:p w14:paraId="0C6651B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0.4879 </w:t>
            </w:r>
          </w:p>
        </w:tc>
        <w:tc>
          <w:tcPr>
            <w:tcW w:w="1380" w:type="dxa"/>
            <w:noWrap/>
            <w:hideMark/>
          </w:tcPr>
          <w:p w14:paraId="4C5ABE7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-0.7127 </w:t>
            </w:r>
          </w:p>
        </w:tc>
        <w:tc>
          <w:tcPr>
            <w:tcW w:w="1520" w:type="dxa"/>
            <w:noWrap/>
            <w:hideMark/>
          </w:tcPr>
          <w:p w14:paraId="5048B56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0.6169 </w:t>
            </w:r>
          </w:p>
        </w:tc>
        <w:tc>
          <w:tcPr>
            <w:tcW w:w="1520" w:type="dxa"/>
            <w:noWrap/>
            <w:hideMark/>
          </w:tcPr>
          <w:p w14:paraId="7A54AF1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1.0148 </w:t>
            </w:r>
          </w:p>
        </w:tc>
        <w:tc>
          <w:tcPr>
            <w:tcW w:w="1480" w:type="dxa"/>
            <w:noWrap/>
            <w:hideMark/>
          </w:tcPr>
          <w:p w14:paraId="1DCCE11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-1.8499 </w:t>
            </w:r>
          </w:p>
        </w:tc>
      </w:tr>
      <w:tr w:rsidR="00503B5A" w:rsidRPr="002F41FE" w14:paraId="03785086" w14:textId="77777777" w:rsidTr="00503B5A">
        <w:trPr>
          <w:trHeight w:val="288"/>
        </w:trPr>
        <w:tc>
          <w:tcPr>
            <w:tcW w:w="1206" w:type="dxa"/>
            <w:noWrap/>
            <w:hideMark/>
          </w:tcPr>
          <w:p w14:paraId="03DA11E6"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002135.SZ</w:t>
            </w:r>
          </w:p>
        </w:tc>
        <w:tc>
          <w:tcPr>
            <w:tcW w:w="960" w:type="dxa"/>
            <w:noWrap/>
            <w:hideMark/>
          </w:tcPr>
          <w:p w14:paraId="5FED47F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43</w:t>
            </w:r>
          </w:p>
        </w:tc>
        <w:tc>
          <w:tcPr>
            <w:tcW w:w="1280" w:type="dxa"/>
            <w:noWrap/>
            <w:hideMark/>
          </w:tcPr>
          <w:p w14:paraId="2CEFD84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0.4113 </w:t>
            </w:r>
          </w:p>
        </w:tc>
        <w:tc>
          <w:tcPr>
            <w:tcW w:w="1380" w:type="dxa"/>
            <w:noWrap/>
            <w:hideMark/>
          </w:tcPr>
          <w:p w14:paraId="08480E8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0.6636 </w:t>
            </w:r>
          </w:p>
        </w:tc>
        <w:tc>
          <w:tcPr>
            <w:tcW w:w="1520" w:type="dxa"/>
            <w:noWrap/>
            <w:hideMark/>
          </w:tcPr>
          <w:p w14:paraId="4F63285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0.6169 </w:t>
            </w:r>
          </w:p>
        </w:tc>
        <w:tc>
          <w:tcPr>
            <w:tcW w:w="1520" w:type="dxa"/>
            <w:noWrap/>
            <w:hideMark/>
          </w:tcPr>
          <w:p w14:paraId="50B0666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-0.1438 </w:t>
            </w:r>
          </w:p>
        </w:tc>
        <w:tc>
          <w:tcPr>
            <w:tcW w:w="1480" w:type="dxa"/>
            <w:noWrap/>
            <w:hideMark/>
          </w:tcPr>
          <w:p w14:paraId="1A567FF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-0.1346 </w:t>
            </w:r>
          </w:p>
        </w:tc>
      </w:tr>
      <w:tr w:rsidR="00503B5A" w:rsidRPr="002F41FE" w14:paraId="0AF08B3B" w14:textId="77777777" w:rsidTr="00503B5A">
        <w:trPr>
          <w:trHeight w:val="288"/>
        </w:trPr>
        <w:tc>
          <w:tcPr>
            <w:tcW w:w="1206" w:type="dxa"/>
            <w:noWrap/>
            <w:hideMark/>
          </w:tcPr>
          <w:p w14:paraId="39B5C8B9"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002178.SZ</w:t>
            </w:r>
          </w:p>
        </w:tc>
        <w:tc>
          <w:tcPr>
            <w:tcW w:w="960" w:type="dxa"/>
            <w:noWrap/>
            <w:hideMark/>
          </w:tcPr>
          <w:p w14:paraId="0DE222D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44</w:t>
            </w:r>
          </w:p>
        </w:tc>
        <w:tc>
          <w:tcPr>
            <w:tcW w:w="1280" w:type="dxa"/>
            <w:noWrap/>
            <w:hideMark/>
          </w:tcPr>
          <w:p w14:paraId="375F96C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1.3442 </w:t>
            </w:r>
          </w:p>
        </w:tc>
        <w:tc>
          <w:tcPr>
            <w:tcW w:w="1380" w:type="dxa"/>
            <w:noWrap/>
            <w:hideMark/>
          </w:tcPr>
          <w:p w14:paraId="69292A9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1.0767 </w:t>
            </w:r>
          </w:p>
        </w:tc>
        <w:tc>
          <w:tcPr>
            <w:tcW w:w="1520" w:type="dxa"/>
            <w:noWrap/>
            <w:hideMark/>
          </w:tcPr>
          <w:p w14:paraId="6B54915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0.4251 </w:t>
            </w:r>
          </w:p>
        </w:tc>
        <w:tc>
          <w:tcPr>
            <w:tcW w:w="1520" w:type="dxa"/>
            <w:noWrap/>
            <w:hideMark/>
          </w:tcPr>
          <w:p w14:paraId="304B045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0.2176 </w:t>
            </w:r>
          </w:p>
        </w:tc>
        <w:tc>
          <w:tcPr>
            <w:tcW w:w="1480" w:type="dxa"/>
            <w:noWrap/>
            <w:hideMark/>
          </w:tcPr>
          <w:p w14:paraId="48F21A8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0.1817 </w:t>
            </w:r>
          </w:p>
        </w:tc>
      </w:tr>
      <w:tr w:rsidR="00503B5A" w:rsidRPr="002F41FE" w14:paraId="43498BF8" w14:textId="77777777" w:rsidTr="00503B5A">
        <w:trPr>
          <w:trHeight w:val="288"/>
        </w:trPr>
        <w:tc>
          <w:tcPr>
            <w:tcW w:w="1206" w:type="dxa"/>
            <w:noWrap/>
            <w:hideMark/>
          </w:tcPr>
          <w:p w14:paraId="491A1646"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002218.SZ</w:t>
            </w:r>
          </w:p>
        </w:tc>
        <w:tc>
          <w:tcPr>
            <w:tcW w:w="960" w:type="dxa"/>
            <w:noWrap/>
            <w:hideMark/>
          </w:tcPr>
          <w:p w14:paraId="08D54BF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56</w:t>
            </w:r>
          </w:p>
        </w:tc>
        <w:tc>
          <w:tcPr>
            <w:tcW w:w="1280" w:type="dxa"/>
            <w:noWrap/>
            <w:hideMark/>
          </w:tcPr>
          <w:p w14:paraId="79D099C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2.4662 </w:t>
            </w:r>
          </w:p>
        </w:tc>
        <w:tc>
          <w:tcPr>
            <w:tcW w:w="1380" w:type="dxa"/>
            <w:noWrap/>
            <w:hideMark/>
          </w:tcPr>
          <w:p w14:paraId="52A8269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1.3297 </w:t>
            </w:r>
          </w:p>
        </w:tc>
        <w:tc>
          <w:tcPr>
            <w:tcW w:w="1520" w:type="dxa"/>
            <w:noWrap/>
            <w:hideMark/>
          </w:tcPr>
          <w:p w14:paraId="17DDF4E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-1.2421 </w:t>
            </w:r>
          </w:p>
        </w:tc>
        <w:tc>
          <w:tcPr>
            <w:tcW w:w="1520" w:type="dxa"/>
            <w:noWrap/>
            <w:hideMark/>
          </w:tcPr>
          <w:p w14:paraId="0C1E936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-0.9667 </w:t>
            </w:r>
          </w:p>
        </w:tc>
        <w:tc>
          <w:tcPr>
            <w:tcW w:w="1480" w:type="dxa"/>
            <w:noWrap/>
            <w:hideMark/>
          </w:tcPr>
          <w:p w14:paraId="0C08A90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-0.1561 </w:t>
            </w:r>
          </w:p>
        </w:tc>
      </w:tr>
      <w:tr w:rsidR="00503B5A" w:rsidRPr="002F41FE" w14:paraId="5F8FA3DF" w14:textId="77777777" w:rsidTr="00503B5A">
        <w:trPr>
          <w:trHeight w:val="288"/>
        </w:trPr>
        <w:tc>
          <w:tcPr>
            <w:tcW w:w="1206" w:type="dxa"/>
            <w:noWrap/>
            <w:hideMark/>
          </w:tcPr>
          <w:p w14:paraId="778B90CB"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300001.SZ</w:t>
            </w:r>
          </w:p>
        </w:tc>
        <w:tc>
          <w:tcPr>
            <w:tcW w:w="960" w:type="dxa"/>
            <w:noWrap/>
            <w:hideMark/>
          </w:tcPr>
          <w:p w14:paraId="403EA49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27</w:t>
            </w:r>
          </w:p>
        </w:tc>
        <w:tc>
          <w:tcPr>
            <w:tcW w:w="1280" w:type="dxa"/>
            <w:noWrap/>
            <w:hideMark/>
          </w:tcPr>
          <w:p w14:paraId="3E3C536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-1.8474 </w:t>
            </w:r>
          </w:p>
        </w:tc>
        <w:tc>
          <w:tcPr>
            <w:tcW w:w="1380" w:type="dxa"/>
            <w:noWrap/>
            <w:hideMark/>
          </w:tcPr>
          <w:p w14:paraId="2B5757A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-0.1616 </w:t>
            </w:r>
          </w:p>
        </w:tc>
        <w:tc>
          <w:tcPr>
            <w:tcW w:w="1520" w:type="dxa"/>
            <w:noWrap/>
            <w:hideMark/>
          </w:tcPr>
          <w:p w14:paraId="50CA69F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-0.9075 </w:t>
            </w:r>
          </w:p>
        </w:tc>
        <w:tc>
          <w:tcPr>
            <w:tcW w:w="1520" w:type="dxa"/>
            <w:noWrap/>
            <w:hideMark/>
          </w:tcPr>
          <w:p w14:paraId="259FB58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0.2356 </w:t>
            </w:r>
          </w:p>
        </w:tc>
        <w:tc>
          <w:tcPr>
            <w:tcW w:w="1480" w:type="dxa"/>
            <w:noWrap/>
            <w:hideMark/>
          </w:tcPr>
          <w:p w14:paraId="7B03E5B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0.1720 </w:t>
            </w:r>
          </w:p>
        </w:tc>
      </w:tr>
      <w:tr w:rsidR="00503B5A" w:rsidRPr="002F41FE" w14:paraId="5140781B" w14:textId="77777777" w:rsidTr="00503B5A">
        <w:trPr>
          <w:trHeight w:val="288"/>
        </w:trPr>
        <w:tc>
          <w:tcPr>
            <w:tcW w:w="1206" w:type="dxa"/>
            <w:noWrap/>
            <w:hideMark/>
          </w:tcPr>
          <w:p w14:paraId="248E837F"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002309.SZ</w:t>
            </w:r>
          </w:p>
        </w:tc>
        <w:tc>
          <w:tcPr>
            <w:tcW w:w="960" w:type="dxa"/>
            <w:noWrap/>
            <w:hideMark/>
          </w:tcPr>
          <w:p w14:paraId="0A575EA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33</w:t>
            </w:r>
          </w:p>
        </w:tc>
        <w:tc>
          <w:tcPr>
            <w:tcW w:w="1280" w:type="dxa"/>
            <w:noWrap/>
            <w:hideMark/>
          </w:tcPr>
          <w:p w14:paraId="54D7EDE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-3.5586 </w:t>
            </w:r>
          </w:p>
        </w:tc>
        <w:tc>
          <w:tcPr>
            <w:tcW w:w="1380" w:type="dxa"/>
            <w:noWrap/>
            <w:hideMark/>
          </w:tcPr>
          <w:p w14:paraId="7ACDEB8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0.6396 </w:t>
            </w:r>
          </w:p>
        </w:tc>
        <w:tc>
          <w:tcPr>
            <w:tcW w:w="1520" w:type="dxa"/>
            <w:noWrap/>
            <w:hideMark/>
          </w:tcPr>
          <w:p w14:paraId="48D1F15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0.8451 </w:t>
            </w:r>
          </w:p>
        </w:tc>
        <w:tc>
          <w:tcPr>
            <w:tcW w:w="1520" w:type="dxa"/>
            <w:noWrap/>
            <w:hideMark/>
          </w:tcPr>
          <w:p w14:paraId="1CE7B02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-0.0992 </w:t>
            </w:r>
          </w:p>
        </w:tc>
        <w:tc>
          <w:tcPr>
            <w:tcW w:w="1480" w:type="dxa"/>
            <w:noWrap/>
            <w:hideMark/>
          </w:tcPr>
          <w:p w14:paraId="7F5DEC5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0.3560 </w:t>
            </w:r>
          </w:p>
        </w:tc>
      </w:tr>
      <w:tr w:rsidR="00503B5A" w:rsidRPr="002F41FE" w14:paraId="0E450913" w14:textId="77777777" w:rsidTr="00503B5A">
        <w:trPr>
          <w:trHeight w:val="288"/>
        </w:trPr>
        <w:tc>
          <w:tcPr>
            <w:tcW w:w="1206" w:type="dxa"/>
            <w:noWrap/>
            <w:hideMark/>
          </w:tcPr>
          <w:p w14:paraId="314C8E22"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002375.SZ</w:t>
            </w:r>
          </w:p>
        </w:tc>
        <w:tc>
          <w:tcPr>
            <w:tcW w:w="960" w:type="dxa"/>
            <w:noWrap/>
            <w:hideMark/>
          </w:tcPr>
          <w:p w14:paraId="60F57E8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48</w:t>
            </w:r>
          </w:p>
        </w:tc>
        <w:tc>
          <w:tcPr>
            <w:tcW w:w="1280" w:type="dxa"/>
            <w:noWrap/>
            <w:hideMark/>
          </w:tcPr>
          <w:p w14:paraId="4503C22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-1.9710 </w:t>
            </w:r>
          </w:p>
        </w:tc>
        <w:tc>
          <w:tcPr>
            <w:tcW w:w="1380" w:type="dxa"/>
            <w:noWrap/>
            <w:hideMark/>
          </w:tcPr>
          <w:p w14:paraId="3C3C4C7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-0.8150 </w:t>
            </w:r>
          </w:p>
        </w:tc>
        <w:tc>
          <w:tcPr>
            <w:tcW w:w="1520" w:type="dxa"/>
            <w:noWrap/>
            <w:hideMark/>
          </w:tcPr>
          <w:p w14:paraId="704DC26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0.2184 </w:t>
            </w:r>
          </w:p>
        </w:tc>
        <w:tc>
          <w:tcPr>
            <w:tcW w:w="1520" w:type="dxa"/>
            <w:noWrap/>
            <w:hideMark/>
          </w:tcPr>
          <w:p w14:paraId="77754F9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-0.3247 </w:t>
            </w:r>
          </w:p>
        </w:tc>
        <w:tc>
          <w:tcPr>
            <w:tcW w:w="1480" w:type="dxa"/>
            <w:noWrap/>
            <w:hideMark/>
          </w:tcPr>
          <w:p w14:paraId="6A7B10E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-0.1052 </w:t>
            </w:r>
          </w:p>
        </w:tc>
      </w:tr>
      <w:tr w:rsidR="00503B5A" w:rsidRPr="002F41FE" w14:paraId="32B02055" w14:textId="77777777" w:rsidTr="00503B5A">
        <w:trPr>
          <w:trHeight w:val="288"/>
        </w:trPr>
        <w:tc>
          <w:tcPr>
            <w:tcW w:w="1206" w:type="dxa"/>
            <w:noWrap/>
            <w:hideMark/>
          </w:tcPr>
          <w:p w14:paraId="0979E17E"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300117.SZ</w:t>
            </w:r>
          </w:p>
        </w:tc>
        <w:tc>
          <w:tcPr>
            <w:tcW w:w="960" w:type="dxa"/>
            <w:noWrap/>
            <w:hideMark/>
          </w:tcPr>
          <w:p w14:paraId="23CC4C1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49</w:t>
            </w:r>
          </w:p>
        </w:tc>
        <w:tc>
          <w:tcPr>
            <w:tcW w:w="1280" w:type="dxa"/>
            <w:noWrap/>
            <w:hideMark/>
          </w:tcPr>
          <w:p w14:paraId="6F907D8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-0.2472 </w:t>
            </w:r>
          </w:p>
        </w:tc>
        <w:tc>
          <w:tcPr>
            <w:tcW w:w="1380" w:type="dxa"/>
            <w:noWrap/>
            <w:hideMark/>
          </w:tcPr>
          <w:p w14:paraId="152C761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-0.5730 </w:t>
            </w:r>
          </w:p>
        </w:tc>
        <w:tc>
          <w:tcPr>
            <w:tcW w:w="1520" w:type="dxa"/>
            <w:noWrap/>
            <w:hideMark/>
          </w:tcPr>
          <w:p w14:paraId="65BB264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-0.3661 </w:t>
            </w:r>
          </w:p>
        </w:tc>
        <w:tc>
          <w:tcPr>
            <w:tcW w:w="1520" w:type="dxa"/>
            <w:noWrap/>
            <w:hideMark/>
          </w:tcPr>
          <w:p w14:paraId="72F015D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-0.4146 </w:t>
            </w:r>
          </w:p>
        </w:tc>
        <w:tc>
          <w:tcPr>
            <w:tcW w:w="1480" w:type="dxa"/>
            <w:noWrap/>
            <w:hideMark/>
          </w:tcPr>
          <w:p w14:paraId="7F81D40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-0.4185 </w:t>
            </w:r>
          </w:p>
        </w:tc>
      </w:tr>
      <w:tr w:rsidR="00503B5A" w:rsidRPr="002F41FE" w14:paraId="49D63587" w14:textId="77777777" w:rsidTr="00503B5A">
        <w:trPr>
          <w:trHeight w:val="288"/>
        </w:trPr>
        <w:tc>
          <w:tcPr>
            <w:tcW w:w="1206" w:type="dxa"/>
            <w:noWrap/>
            <w:hideMark/>
          </w:tcPr>
          <w:p w14:paraId="29D5263C"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lastRenderedPageBreak/>
              <w:t>300118.SZ</w:t>
            </w:r>
          </w:p>
        </w:tc>
        <w:tc>
          <w:tcPr>
            <w:tcW w:w="960" w:type="dxa"/>
            <w:noWrap/>
            <w:hideMark/>
          </w:tcPr>
          <w:p w14:paraId="71289EF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38</w:t>
            </w:r>
          </w:p>
        </w:tc>
        <w:tc>
          <w:tcPr>
            <w:tcW w:w="1280" w:type="dxa"/>
            <w:noWrap/>
            <w:hideMark/>
          </w:tcPr>
          <w:p w14:paraId="3E675B6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-2.0511 </w:t>
            </w:r>
          </w:p>
        </w:tc>
        <w:tc>
          <w:tcPr>
            <w:tcW w:w="1380" w:type="dxa"/>
            <w:noWrap/>
            <w:hideMark/>
          </w:tcPr>
          <w:p w14:paraId="1E2A20A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-9.6551 </w:t>
            </w:r>
          </w:p>
        </w:tc>
        <w:tc>
          <w:tcPr>
            <w:tcW w:w="1520" w:type="dxa"/>
            <w:noWrap/>
            <w:hideMark/>
          </w:tcPr>
          <w:p w14:paraId="5133CD9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-0.7275 </w:t>
            </w:r>
          </w:p>
        </w:tc>
        <w:tc>
          <w:tcPr>
            <w:tcW w:w="1520" w:type="dxa"/>
            <w:noWrap/>
            <w:hideMark/>
          </w:tcPr>
          <w:p w14:paraId="492A0E7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-5.1940 </w:t>
            </w:r>
          </w:p>
        </w:tc>
        <w:tc>
          <w:tcPr>
            <w:tcW w:w="1480" w:type="dxa"/>
            <w:noWrap/>
            <w:hideMark/>
          </w:tcPr>
          <w:p w14:paraId="6D78AEC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-1.8353 </w:t>
            </w:r>
          </w:p>
        </w:tc>
      </w:tr>
      <w:tr w:rsidR="00503B5A" w:rsidRPr="002F41FE" w14:paraId="0363EC6A" w14:textId="77777777" w:rsidTr="00503B5A">
        <w:trPr>
          <w:trHeight w:val="288"/>
        </w:trPr>
        <w:tc>
          <w:tcPr>
            <w:tcW w:w="1206" w:type="dxa"/>
            <w:noWrap/>
            <w:hideMark/>
          </w:tcPr>
          <w:p w14:paraId="39D05416"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002482.SZ</w:t>
            </w:r>
          </w:p>
        </w:tc>
        <w:tc>
          <w:tcPr>
            <w:tcW w:w="960" w:type="dxa"/>
            <w:noWrap/>
            <w:hideMark/>
          </w:tcPr>
          <w:p w14:paraId="083693E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47</w:t>
            </w:r>
          </w:p>
        </w:tc>
        <w:tc>
          <w:tcPr>
            <w:tcW w:w="1280" w:type="dxa"/>
            <w:noWrap/>
            <w:hideMark/>
          </w:tcPr>
          <w:p w14:paraId="30D3E7F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-1.3791 </w:t>
            </w:r>
          </w:p>
        </w:tc>
        <w:tc>
          <w:tcPr>
            <w:tcW w:w="1380" w:type="dxa"/>
            <w:noWrap/>
            <w:hideMark/>
          </w:tcPr>
          <w:p w14:paraId="4C75F42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-0.4101 </w:t>
            </w:r>
          </w:p>
        </w:tc>
        <w:tc>
          <w:tcPr>
            <w:tcW w:w="1520" w:type="dxa"/>
            <w:noWrap/>
            <w:hideMark/>
          </w:tcPr>
          <w:p w14:paraId="6424295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-0.1180 </w:t>
            </w:r>
          </w:p>
        </w:tc>
        <w:tc>
          <w:tcPr>
            <w:tcW w:w="1520" w:type="dxa"/>
            <w:noWrap/>
            <w:hideMark/>
          </w:tcPr>
          <w:p w14:paraId="436B079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-0.4110 </w:t>
            </w:r>
          </w:p>
        </w:tc>
        <w:tc>
          <w:tcPr>
            <w:tcW w:w="1480" w:type="dxa"/>
            <w:noWrap/>
            <w:hideMark/>
          </w:tcPr>
          <w:p w14:paraId="7C0FC0C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-0.3311 </w:t>
            </w:r>
          </w:p>
        </w:tc>
      </w:tr>
      <w:tr w:rsidR="00503B5A" w:rsidRPr="002F41FE" w14:paraId="7D33ADFD" w14:textId="77777777" w:rsidTr="00503B5A">
        <w:trPr>
          <w:trHeight w:val="288"/>
        </w:trPr>
        <w:tc>
          <w:tcPr>
            <w:tcW w:w="1206" w:type="dxa"/>
            <w:noWrap/>
            <w:hideMark/>
          </w:tcPr>
          <w:p w14:paraId="2B7148B2"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300160.SZ</w:t>
            </w:r>
          </w:p>
        </w:tc>
        <w:tc>
          <w:tcPr>
            <w:tcW w:w="960" w:type="dxa"/>
            <w:noWrap/>
            <w:hideMark/>
          </w:tcPr>
          <w:p w14:paraId="33FE924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32</w:t>
            </w:r>
          </w:p>
        </w:tc>
        <w:tc>
          <w:tcPr>
            <w:tcW w:w="1280" w:type="dxa"/>
            <w:noWrap/>
            <w:hideMark/>
          </w:tcPr>
          <w:p w14:paraId="483DAD4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-0.0681 </w:t>
            </w:r>
          </w:p>
        </w:tc>
        <w:tc>
          <w:tcPr>
            <w:tcW w:w="1380" w:type="dxa"/>
            <w:noWrap/>
            <w:hideMark/>
          </w:tcPr>
          <w:p w14:paraId="012DDC6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-0.4387 </w:t>
            </w:r>
          </w:p>
        </w:tc>
        <w:tc>
          <w:tcPr>
            <w:tcW w:w="1520" w:type="dxa"/>
            <w:noWrap/>
            <w:hideMark/>
          </w:tcPr>
          <w:p w14:paraId="576C4FA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-0.4670 </w:t>
            </w:r>
          </w:p>
        </w:tc>
        <w:tc>
          <w:tcPr>
            <w:tcW w:w="1520" w:type="dxa"/>
            <w:noWrap/>
            <w:hideMark/>
          </w:tcPr>
          <w:p w14:paraId="465FC22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-0.5693 </w:t>
            </w:r>
          </w:p>
        </w:tc>
        <w:tc>
          <w:tcPr>
            <w:tcW w:w="1480" w:type="dxa"/>
            <w:noWrap/>
            <w:hideMark/>
          </w:tcPr>
          <w:p w14:paraId="62A8B4F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-0.5856 </w:t>
            </w:r>
          </w:p>
        </w:tc>
      </w:tr>
      <w:tr w:rsidR="00503B5A" w:rsidRPr="002F41FE" w14:paraId="3A4A79CF" w14:textId="77777777" w:rsidTr="00503B5A">
        <w:trPr>
          <w:trHeight w:val="288"/>
        </w:trPr>
        <w:tc>
          <w:tcPr>
            <w:tcW w:w="1206" w:type="dxa"/>
            <w:noWrap/>
            <w:hideMark/>
          </w:tcPr>
          <w:p w14:paraId="42A6B494"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601222.SH</w:t>
            </w:r>
          </w:p>
        </w:tc>
        <w:tc>
          <w:tcPr>
            <w:tcW w:w="960" w:type="dxa"/>
            <w:noWrap/>
            <w:hideMark/>
          </w:tcPr>
          <w:p w14:paraId="106A5A6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51</w:t>
            </w:r>
          </w:p>
        </w:tc>
        <w:tc>
          <w:tcPr>
            <w:tcW w:w="1280" w:type="dxa"/>
            <w:noWrap/>
            <w:hideMark/>
          </w:tcPr>
          <w:p w14:paraId="5B19C8B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-0.5147 </w:t>
            </w:r>
          </w:p>
        </w:tc>
        <w:tc>
          <w:tcPr>
            <w:tcW w:w="1380" w:type="dxa"/>
            <w:noWrap/>
            <w:hideMark/>
          </w:tcPr>
          <w:p w14:paraId="073655B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-0.5590 </w:t>
            </w:r>
          </w:p>
        </w:tc>
        <w:tc>
          <w:tcPr>
            <w:tcW w:w="1520" w:type="dxa"/>
            <w:noWrap/>
            <w:hideMark/>
          </w:tcPr>
          <w:p w14:paraId="4A835EF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-0.6738 </w:t>
            </w:r>
          </w:p>
        </w:tc>
        <w:tc>
          <w:tcPr>
            <w:tcW w:w="1520" w:type="dxa"/>
            <w:noWrap/>
            <w:hideMark/>
          </w:tcPr>
          <w:p w14:paraId="29614B0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-0.6182 </w:t>
            </w:r>
          </w:p>
        </w:tc>
        <w:tc>
          <w:tcPr>
            <w:tcW w:w="1480" w:type="dxa"/>
            <w:noWrap/>
            <w:hideMark/>
          </w:tcPr>
          <w:p w14:paraId="1487D6D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-0.6530 </w:t>
            </w:r>
          </w:p>
        </w:tc>
      </w:tr>
    </w:tbl>
    <w:p w14:paraId="01683205" w14:textId="634D2409" w:rsidR="004D75EA" w:rsidRDefault="004D75EA" w:rsidP="007849B8"/>
    <w:tbl>
      <w:tblPr>
        <w:tblStyle w:val="ab"/>
        <w:tblW w:w="9346" w:type="dxa"/>
        <w:tblLook w:val="04A0" w:firstRow="1" w:lastRow="0" w:firstColumn="1" w:lastColumn="0" w:noHBand="0" w:noVBand="1"/>
      </w:tblPr>
      <w:tblGrid>
        <w:gridCol w:w="1206"/>
        <w:gridCol w:w="960"/>
        <w:gridCol w:w="1280"/>
        <w:gridCol w:w="1380"/>
        <w:gridCol w:w="1520"/>
        <w:gridCol w:w="1520"/>
        <w:gridCol w:w="1480"/>
      </w:tblGrid>
      <w:tr w:rsidR="00503B5A" w:rsidRPr="002F41FE" w14:paraId="5D8F4444" w14:textId="77777777" w:rsidTr="00503B5A">
        <w:trPr>
          <w:cnfStyle w:val="100000000000" w:firstRow="1" w:lastRow="0" w:firstColumn="0" w:lastColumn="0" w:oddVBand="0" w:evenVBand="0" w:oddHBand="0" w:evenHBand="0" w:firstRowFirstColumn="0" w:firstRowLastColumn="0" w:lastRowFirstColumn="0" w:lastRowLastColumn="0"/>
          <w:trHeight w:val="288"/>
        </w:trPr>
        <w:tc>
          <w:tcPr>
            <w:tcW w:w="1206" w:type="dxa"/>
            <w:noWrap/>
            <w:hideMark/>
          </w:tcPr>
          <w:p w14:paraId="16861C36" w14:textId="31890A44" w:rsidR="00503B5A" w:rsidRPr="002F41FE" w:rsidRDefault="00503B5A" w:rsidP="00503B5A">
            <w:pPr>
              <w:widowControl/>
              <w:jc w:val="center"/>
              <w:rPr>
                <w:rFonts w:ascii="宋体" w:hAnsi="宋体" w:cs="宋体"/>
                <w:b/>
                <w:bCs/>
                <w:color w:val="000000"/>
                <w:kern w:val="0"/>
                <w:sz w:val="22"/>
              </w:rPr>
            </w:pPr>
            <w:r>
              <w:rPr>
                <w:rFonts w:ascii="宋体" w:hAnsi="宋体" w:cs="宋体" w:hint="eastAsia"/>
                <w:b/>
                <w:bCs/>
                <w:color w:val="000000"/>
                <w:kern w:val="0"/>
                <w:sz w:val="22"/>
              </w:rPr>
              <w:t>股票代码</w:t>
            </w:r>
          </w:p>
        </w:tc>
        <w:tc>
          <w:tcPr>
            <w:tcW w:w="960" w:type="dxa"/>
            <w:noWrap/>
            <w:hideMark/>
          </w:tcPr>
          <w:p w14:paraId="31F4F718" w14:textId="7A17A53D" w:rsidR="00503B5A" w:rsidRPr="002F41FE" w:rsidRDefault="00503B5A" w:rsidP="00503B5A">
            <w:pPr>
              <w:widowControl/>
              <w:jc w:val="center"/>
              <w:rPr>
                <w:rFonts w:ascii="宋体" w:hAnsi="宋体" w:cs="宋体"/>
                <w:b/>
                <w:bCs/>
                <w:color w:val="000000"/>
                <w:kern w:val="0"/>
                <w:sz w:val="22"/>
              </w:rPr>
            </w:pPr>
            <w:r>
              <w:rPr>
                <w:rFonts w:ascii="宋体" w:hAnsi="宋体" w:cs="宋体" w:hint="eastAsia"/>
                <w:b/>
                <w:bCs/>
                <w:color w:val="000000"/>
                <w:kern w:val="0"/>
                <w:sz w:val="22"/>
              </w:rPr>
              <w:t>得分</w:t>
            </w:r>
          </w:p>
        </w:tc>
        <w:tc>
          <w:tcPr>
            <w:tcW w:w="1280" w:type="dxa"/>
            <w:noWrap/>
            <w:hideMark/>
          </w:tcPr>
          <w:p w14:paraId="1DB82565" w14:textId="791A8A86" w:rsidR="00503B5A" w:rsidRPr="002F41FE" w:rsidRDefault="00503B5A" w:rsidP="00503B5A">
            <w:pPr>
              <w:widowControl/>
              <w:jc w:val="left"/>
              <w:rPr>
                <w:rFonts w:ascii="宋体" w:hAnsi="宋体" w:cs="宋体"/>
                <w:color w:val="000000"/>
                <w:kern w:val="0"/>
                <w:sz w:val="22"/>
              </w:rPr>
            </w:pPr>
            <w:r>
              <w:rPr>
                <w:rFonts w:ascii="宋体" w:hAnsi="宋体" w:cs="宋体" w:hint="eastAsia"/>
                <w:color w:val="000000"/>
                <w:kern w:val="0"/>
                <w:sz w:val="22"/>
              </w:rPr>
              <w:t>6.1-6.4</w:t>
            </w:r>
            <w:r w:rsidRPr="002F41FE">
              <w:rPr>
                <w:rFonts w:ascii="宋体" w:hAnsi="宋体" w:cs="宋体" w:hint="eastAsia"/>
                <w:color w:val="000000"/>
                <w:kern w:val="0"/>
                <w:sz w:val="22"/>
              </w:rPr>
              <w:t>涨幅</w:t>
            </w:r>
          </w:p>
        </w:tc>
        <w:tc>
          <w:tcPr>
            <w:tcW w:w="1380" w:type="dxa"/>
            <w:noWrap/>
            <w:hideMark/>
          </w:tcPr>
          <w:p w14:paraId="3C7F46B8" w14:textId="028D11BB" w:rsidR="00503B5A" w:rsidRPr="002F41FE" w:rsidRDefault="00503B5A" w:rsidP="00503B5A">
            <w:pPr>
              <w:widowControl/>
              <w:jc w:val="left"/>
              <w:rPr>
                <w:rFonts w:ascii="宋体" w:hAnsi="宋体" w:cs="宋体"/>
                <w:color w:val="000000"/>
                <w:kern w:val="0"/>
                <w:sz w:val="22"/>
              </w:rPr>
            </w:pPr>
            <w:r>
              <w:rPr>
                <w:rFonts w:ascii="宋体" w:hAnsi="宋体" w:cs="宋体" w:hint="eastAsia"/>
                <w:color w:val="000000"/>
                <w:kern w:val="0"/>
                <w:sz w:val="22"/>
              </w:rPr>
              <w:t>6.7-6.11</w:t>
            </w:r>
            <w:r w:rsidRPr="002F41FE">
              <w:rPr>
                <w:rFonts w:ascii="宋体" w:hAnsi="宋体" w:cs="宋体" w:hint="eastAsia"/>
                <w:color w:val="000000"/>
                <w:kern w:val="0"/>
                <w:sz w:val="22"/>
              </w:rPr>
              <w:t>涨幅</w:t>
            </w:r>
          </w:p>
        </w:tc>
        <w:tc>
          <w:tcPr>
            <w:tcW w:w="1520" w:type="dxa"/>
            <w:noWrap/>
            <w:hideMark/>
          </w:tcPr>
          <w:p w14:paraId="79C8CF11" w14:textId="5BEEE1D3" w:rsidR="00503B5A" w:rsidRPr="002F41FE" w:rsidRDefault="00503B5A" w:rsidP="00503B5A">
            <w:pPr>
              <w:widowControl/>
              <w:jc w:val="left"/>
              <w:rPr>
                <w:rFonts w:ascii="宋体" w:hAnsi="宋体" w:cs="宋体"/>
                <w:color w:val="000000"/>
                <w:kern w:val="0"/>
                <w:sz w:val="22"/>
              </w:rPr>
            </w:pPr>
            <w:r>
              <w:rPr>
                <w:rFonts w:ascii="宋体" w:hAnsi="宋体" w:cs="宋体" w:hint="eastAsia"/>
                <w:color w:val="000000"/>
                <w:kern w:val="0"/>
                <w:sz w:val="22"/>
              </w:rPr>
              <w:t>6.15-6.18</w:t>
            </w:r>
            <w:r w:rsidRPr="002F41FE">
              <w:rPr>
                <w:rFonts w:ascii="宋体" w:hAnsi="宋体" w:cs="宋体" w:hint="eastAsia"/>
                <w:color w:val="000000"/>
                <w:kern w:val="0"/>
                <w:sz w:val="22"/>
              </w:rPr>
              <w:t>涨幅</w:t>
            </w:r>
          </w:p>
        </w:tc>
        <w:tc>
          <w:tcPr>
            <w:tcW w:w="1520" w:type="dxa"/>
            <w:noWrap/>
            <w:hideMark/>
          </w:tcPr>
          <w:p w14:paraId="0CEA564D" w14:textId="7DBD34B3" w:rsidR="00503B5A" w:rsidRPr="002F41FE" w:rsidRDefault="00503B5A" w:rsidP="00503B5A">
            <w:pPr>
              <w:widowControl/>
              <w:jc w:val="left"/>
              <w:rPr>
                <w:rFonts w:ascii="宋体" w:hAnsi="宋体" w:cs="宋体"/>
                <w:color w:val="000000"/>
                <w:kern w:val="0"/>
                <w:sz w:val="22"/>
              </w:rPr>
            </w:pPr>
            <w:r w:rsidRPr="002F41FE">
              <w:rPr>
                <w:rFonts w:ascii="宋体" w:hAnsi="宋体" w:cs="宋体" w:hint="eastAsia"/>
                <w:color w:val="000000"/>
                <w:kern w:val="0"/>
                <w:sz w:val="22"/>
              </w:rPr>
              <w:t>6.21-6.25</w:t>
            </w:r>
            <w:r w:rsidRPr="002F41FE">
              <w:rPr>
                <w:rFonts w:ascii="宋体" w:hAnsi="宋体" w:cs="宋体" w:hint="eastAsia"/>
                <w:color w:val="000000"/>
                <w:kern w:val="0"/>
                <w:sz w:val="22"/>
              </w:rPr>
              <w:t>涨幅</w:t>
            </w:r>
          </w:p>
        </w:tc>
        <w:tc>
          <w:tcPr>
            <w:tcW w:w="1480" w:type="dxa"/>
            <w:noWrap/>
            <w:hideMark/>
          </w:tcPr>
          <w:p w14:paraId="14FD8977" w14:textId="17FC16BC" w:rsidR="00503B5A" w:rsidRPr="002F41FE" w:rsidRDefault="00503B5A" w:rsidP="00503B5A">
            <w:pPr>
              <w:widowControl/>
              <w:jc w:val="left"/>
              <w:rPr>
                <w:rFonts w:ascii="宋体" w:hAnsi="宋体" w:cs="宋体"/>
                <w:color w:val="000000"/>
                <w:kern w:val="0"/>
                <w:sz w:val="22"/>
              </w:rPr>
            </w:pPr>
            <w:r>
              <w:rPr>
                <w:rFonts w:ascii="宋体" w:hAnsi="宋体" w:cs="宋体" w:hint="eastAsia"/>
                <w:color w:val="000000"/>
                <w:kern w:val="0"/>
                <w:sz w:val="22"/>
              </w:rPr>
              <w:t>6.28</w:t>
            </w:r>
            <w:r w:rsidRPr="002F41FE">
              <w:rPr>
                <w:rFonts w:ascii="宋体" w:hAnsi="宋体" w:cs="宋体" w:hint="eastAsia"/>
                <w:color w:val="000000"/>
                <w:kern w:val="0"/>
                <w:sz w:val="22"/>
              </w:rPr>
              <w:t>-6.30</w:t>
            </w:r>
            <w:r w:rsidRPr="002F41FE">
              <w:rPr>
                <w:rFonts w:ascii="宋体" w:hAnsi="宋体" w:cs="宋体" w:hint="eastAsia"/>
                <w:color w:val="000000"/>
                <w:kern w:val="0"/>
                <w:sz w:val="22"/>
              </w:rPr>
              <w:t>涨幅</w:t>
            </w:r>
          </w:p>
        </w:tc>
      </w:tr>
      <w:tr w:rsidR="00503B5A" w:rsidRPr="002F41FE" w14:paraId="38931A27" w14:textId="77777777" w:rsidTr="00503B5A">
        <w:trPr>
          <w:trHeight w:val="288"/>
        </w:trPr>
        <w:tc>
          <w:tcPr>
            <w:tcW w:w="1206" w:type="dxa"/>
            <w:noWrap/>
            <w:hideMark/>
          </w:tcPr>
          <w:p w14:paraId="5C3ABAB8"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601886.SH</w:t>
            </w:r>
          </w:p>
        </w:tc>
        <w:tc>
          <w:tcPr>
            <w:tcW w:w="960" w:type="dxa"/>
            <w:noWrap/>
            <w:hideMark/>
          </w:tcPr>
          <w:p w14:paraId="541A12C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47</w:t>
            </w:r>
          </w:p>
        </w:tc>
        <w:tc>
          <w:tcPr>
            <w:tcW w:w="1280" w:type="dxa"/>
            <w:noWrap/>
            <w:hideMark/>
          </w:tcPr>
          <w:p w14:paraId="074EAE9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1.4029 </w:t>
            </w:r>
          </w:p>
        </w:tc>
        <w:tc>
          <w:tcPr>
            <w:tcW w:w="1380" w:type="dxa"/>
            <w:noWrap/>
            <w:hideMark/>
          </w:tcPr>
          <w:p w14:paraId="708C91F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0.8092 </w:t>
            </w:r>
          </w:p>
        </w:tc>
        <w:tc>
          <w:tcPr>
            <w:tcW w:w="1520" w:type="dxa"/>
            <w:noWrap/>
            <w:hideMark/>
          </w:tcPr>
          <w:p w14:paraId="5BC8E35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0.9502 </w:t>
            </w:r>
          </w:p>
        </w:tc>
        <w:tc>
          <w:tcPr>
            <w:tcW w:w="1520" w:type="dxa"/>
            <w:noWrap/>
            <w:hideMark/>
          </w:tcPr>
          <w:p w14:paraId="25754BF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0.2601 </w:t>
            </w:r>
          </w:p>
        </w:tc>
        <w:tc>
          <w:tcPr>
            <w:tcW w:w="1480" w:type="dxa"/>
            <w:noWrap/>
            <w:hideMark/>
          </w:tcPr>
          <w:p w14:paraId="1FEF40B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0.4069 </w:t>
            </w:r>
          </w:p>
        </w:tc>
      </w:tr>
      <w:tr w:rsidR="00503B5A" w:rsidRPr="002F41FE" w14:paraId="68E55136" w14:textId="77777777" w:rsidTr="00503B5A">
        <w:trPr>
          <w:trHeight w:val="288"/>
        </w:trPr>
        <w:tc>
          <w:tcPr>
            <w:tcW w:w="1206" w:type="dxa"/>
            <w:noWrap/>
            <w:hideMark/>
          </w:tcPr>
          <w:p w14:paraId="7E5F2A4C"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002620.SZ</w:t>
            </w:r>
          </w:p>
        </w:tc>
        <w:tc>
          <w:tcPr>
            <w:tcW w:w="960" w:type="dxa"/>
            <w:noWrap/>
            <w:hideMark/>
          </w:tcPr>
          <w:p w14:paraId="23E6A78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47</w:t>
            </w:r>
          </w:p>
        </w:tc>
        <w:tc>
          <w:tcPr>
            <w:tcW w:w="1280" w:type="dxa"/>
            <w:noWrap/>
            <w:hideMark/>
          </w:tcPr>
          <w:p w14:paraId="62B60B6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0.5710 </w:t>
            </w:r>
          </w:p>
        </w:tc>
        <w:tc>
          <w:tcPr>
            <w:tcW w:w="1380" w:type="dxa"/>
            <w:noWrap/>
            <w:hideMark/>
          </w:tcPr>
          <w:p w14:paraId="7CE0906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0.6718 </w:t>
            </w:r>
          </w:p>
        </w:tc>
        <w:tc>
          <w:tcPr>
            <w:tcW w:w="1520" w:type="dxa"/>
            <w:noWrap/>
            <w:hideMark/>
          </w:tcPr>
          <w:p w14:paraId="4E11011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0.5737 </w:t>
            </w:r>
          </w:p>
        </w:tc>
        <w:tc>
          <w:tcPr>
            <w:tcW w:w="1520" w:type="dxa"/>
            <w:noWrap/>
            <w:hideMark/>
          </w:tcPr>
          <w:p w14:paraId="0D7CC80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0.1468 </w:t>
            </w:r>
          </w:p>
        </w:tc>
        <w:tc>
          <w:tcPr>
            <w:tcW w:w="1480" w:type="dxa"/>
            <w:noWrap/>
            <w:hideMark/>
          </w:tcPr>
          <w:p w14:paraId="07126CD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0.0332 </w:t>
            </w:r>
          </w:p>
        </w:tc>
      </w:tr>
      <w:tr w:rsidR="00503B5A" w:rsidRPr="002F41FE" w14:paraId="6F48F338" w14:textId="77777777" w:rsidTr="00503B5A">
        <w:trPr>
          <w:trHeight w:val="288"/>
        </w:trPr>
        <w:tc>
          <w:tcPr>
            <w:tcW w:w="1206" w:type="dxa"/>
            <w:noWrap/>
            <w:hideMark/>
          </w:tcPr>
          <w:p w14:paraId="406962CD"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002623.SZ</w:t>
            </w:r>
          </w:p>
        </w:tc>
        <w:tc>
          <w:tcPr>
            <w:tcW w:w="960" w:type="dxa"/>
            <w:noWrap/>
            <w:hideMark/>
          </w:tcPr>
          <w:p w14:paraId="260038A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48</w:t>
            </w:r>
          </w:p>
        </w:tc>
        <w:tc>
          <w:tcPr>
            <w:tcW w:w="1280" w:type="dxa"/>
            <w:noWrap/>
            <w:hideMark/>
          </w:tcPr>
          <w:p w14:paraId="718B156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-3.9561 </w:t>
            </w:r>
          </w:p>
        </w:tc>
        <w:tc>
          <w:tcPr>
            <w:tcW w:w="1380" w:type="dxa"/>
            <w:noWrap/>
            <w:hideMark/>
          </w:tcPr>
          <w:p w14:paraId="7FC0A7A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-2.6423 </w:t>
            </w:r>
          </w:p>
        </w:tc>
        <w:tc>
          <w:tcPr>
            <w:tcW w:w="1520" w:type="dxa"/>
            <w:noWrap/>
            <w:hideMark/>
          </w:tcPr>
          <w:p w14:paraId="1CEC4AC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-1.9143 </w:t>
            </w:r>
          </w:p>
        </w:tc>
        <w:tc>
          <w:tcPr>
            <w:tcW w:w="1520" w:type="dxa"/>
            <w:noWrap/>
            <w:hideMark/>
          </w:tcPr>
          <w:p w14:paraId="20E88E4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-1.3631 </w:t>
            </w:r>
          </w:p>
        </w:tc>
        <w:tc>
          <w:tcPr>
            <w:tcW w:w="1480" w:type="dxa"/>
            <w:noWrap/>
            <w:hideMark/>
          </w:tcPr>
          <w:p w14:paraId="14A73FD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-1.2863 </w:t>
            </w:r>
          </w:p>
        </w:tc>
      </w:tr>
      <w:tr w:rsidR="00503B5A" w:rsidRPr="002F41FE" w14:paraId="10511467" w14:textId="77777777" w:rsidTr="00503B5A">
        <w:trPr>
          <w:trHeight w:val="288"/>
        </w:trPr>
        <w:tc>
          <w:tcPr>
            <w:tcW w:w="1206" w:type="dxa"/>
            <w:noWrap/>
            <w:hideMark/>
          </w:tcPr>
          <w:p w14:paraId="5CA79C8F"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002641.SZ</w:t>
            </w:r>
          </w:p>
        </w:tc>
        <w:tc>
          <w:tcPr>
            <w:tcW w:w="960" w:type="dxa"/>
            <w:noWrap/>
            <w:hideMark/>
          </w:tcPr>
          <w:p w14:paraId="252E057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55</w:t>
            </w:r>
          </w:p>
        </w:tc>
        <w:tc>
          <w:tcPr>
            <w:tcW w:w="1280" w:type="dxa"/>
            <w:noWrap/>
            <w:hideMark/>
          </w:tcPr>
          <w:p w14:paraId="7194BF8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0.7836 </w:t>
            </w:r>
          </w:p>
        </w:tc>
        <w:tc>
          <w:tcPr>
            <w:tcW w:w="1380" w:type="dxa"/>
            <w:noWrap/>
            <w:hideMark/>
          </w:tcPr>
          <w:p w14:paraId="7284B6A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-0.1219 </w:t>
            </w:r>
          </w:p>
        </w:tc>
        <w:tc>
          <w:tcPr>
            <w:tcW w:w="1520" w:type="dxa"/>
            <w:noWrap/>
            <w:hideMark/>
          </w:tcPr>
          <w:p w14:paraId="6860BE7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-0.5556 </w:t>
            </w:r>
          </w:p>
        </w:tc>
        <w:tc>
          <w:tcPr>
            <w:tcW w:w="1520" w:type="dxa"/>
            <w:noWrap/>
            <w:hideMark/>
          </w:tcPr>
          <w:p w14:paraId="31C9F6B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-0.2926 </w:t>
            </w:r>
          </w:p>
        </w:tc>
        <w:tc>
          <w:tcPr>
            <w:tcW w:w="1480" w:type="dxa"/>
            <w:noWrap/>
            <w:hideMark/>
          </w:tcPr>
          <w:p w14:paraId="2C09D58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-0.0477 </w:t>
            </w:r>
          </w:p>
        </w:tc>
      </w:tr>
      <w:tr w:rsidR="00503B5A" w:rsidRPr="002F41FE" w14:paraId="1412ED86" w14:textId="77777777" w:rsidTr="00503B5A">
        <w:trPr>
          <w:trHeight w:val="288"/>
        </w:trPr>
        <w:tc>
          <w:tcPr>
            <w:tcW w:w="1206" w:type="dxa"/>
            <w:noWrap/>
            <w:hideMark/>
          </w:tcPr>
          <w:p w14:paraId="11887908"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601012.SH</w:t>
            </w:r>
          </w:p>
        </w:tc>
        <w:tc>
          <w:tcPr>
            <w:tcW w:w="960" w:type="dxa"/>
            <w:noWrap/>
            <w:hideMark/>
          </w:tcPr>
          <w:p w14:paraId="3B97D19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52</w:t>
            </w:r>
          </w:p>
        </w:tc>
        <w:tc>
          <w:tcPr>
            <w:tcW w:w="1280" w:type="dxa"/>
            <w:noWrap/>
            <w:hideMark/>
          </w:tcPr>
          <w:p w14:paraId="4A4F813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-3.1351 </w:t>
            </w:r>
          </w:p>
        </w:tc>
        <w:tc>
          <w:tcPr>
            <w:tcW w:w="1380" w:type="dxa"/>
            <w:noWrap/>
            <w:hideMark/>
          </w:tcPr>
          <w:p w14:paraId="671CF72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-2.2130 </w:t>
            </w:r>
          </w:p>
        </w:tc>
        <w:tc>
          <w:tcPr>
            <w:tcW w:w="1520" w:type="dxa"/>
            <w:noWrap/>
            <w:hideMark/>
          </w:tcPr>
          <w:p w14:paraId="5D4209F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-4.5880 </w:t>
            </w:r>
          </w:p>
        </w:tc>
        <w:tc>
          <w:tcPr>
            <w:tcW w:w="1520" w:type="dxa"/>
            <w:noWrap/>
            <w:hideMark/>
          </w:tcPr>
          <w:p w14:paraId="0055C9F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-1.5832 </w:t>
            </w:r>
          </w:p>
        </w:tc>
        <w:tc>
          <w:tcPr>
            <w:tcW w:w="1480" w:type="dxa"/>
            <w:noWrap/>
            <w:hideMark/>
          </w:tcPr>
          <w:p w14:paraId="7632C09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0.5621 </w:t>
            </w:r>
          </w:p>
        </w:tc>
      </w:tr>
      <w:tr w:rsidR="00503B5A" w:rsidRPr="002F41FE" w14:paraId="2E7E8B1A" w14:textId="77777777" w:rsidTr="00503B5A">
        <w:trPr>
          <w:trHeight w:val="288"/>
        </w:trPr>
        <w:tc>
          <w:tcPr>
            <w:tcW w:w="1206" w:type="dxa"/>
            <w:noWrap/>
            <w:hideMark/>
          </w:tcPr>
          <w:p w14:paraId="352EE401"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300320.SZ</w:t>
            </w:r>
          </w:p>
        </w:tc>
        <w:tc>
          <w:tcPr>
            <w:tcW w:w="960" w:type="dxa"/>
            <w:noWrap/>
            <w:hideMark/>
          </w:tcPr>
          <w:p w14:paraId="62EDC84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50</w:t>
            </w:r>
          </w:p>
        </w:tc>
        <w:tc>
          <w:tcPr>
            <w:tcW w:w="1280" w:type="dxa"/>
            <w:noWrap/>
            <w:hideMark/>
          </w:tcPr>
          <w:p w14:paraId="5729952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-1.2308 </w:t>
            </w:r>
          </w:p>
        </w:tc>
        <w:tc>
          <w:tcPr>
            <w:tcW w:w="1380" w:type="dxa"/>
            <w:noWrap/>
            <w:hideMark/>
          </w:tcPr>
          <w:p w14:paraId="714AC91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-0.9346 </w:t>
            </w:r>
          </w:p>
        </w:tc>
        <w:tc>
          <w:tcPr>
            <w:tcW w:w="1520" w:type="dxa"/>
            <w:noWrap/>
            <w:hideMark/>
          </w:tcPr>
          <w:p w14:paraId="5D11306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-1.2321 </w:t>
            </w:r>
          </w:p>
        </w:tc>
        <w:tc>
          <w:tcPr>
            <w:tcW w:w="1520" w:type="dxa"/>
            <w:noWrap/>
            <w:hideMark/>
          </w:tcPr>
          <w:p w14:paraId="1336EAE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-1.3874 </w:t>
            </w:r>
          </w:p>
        </w:tc>
        <w:tc>
          <w:tcPr>
            <w:tcW w:w="1480" w:type="dxa"/>
            <w:noWrap/>
            <w:hideMark/>
          </w:tcPr>
          <w:p w14:paraId="3CDE12A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-1.2493 </w:t>
            </w:r>
          </w:p>
        </w:tc>
      </w:tr>
      <w:tr w:rsidR="00503B5A" w:rsidRPr="002F41FE" w14:paraId="573BB7A3" w14:textId="77777777" w:rsidTr="00503B5A">
        <w:trPr>
          <w:trHeight w:val="288"/>
        </w:trPr>
        <w:tc>
          <w:tcPr>
            <w:tcW w:w="1206" w:type="dxa"/>
            <w:noWrap/>
            <w:hideMark/>
          </w:tcPr>
          <w:p w14:paraId="47AB36A4"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300324.SZ</w:t>
            </w:r>
          </w:p>
        </w:tc>
        <w:tc>
          <w:tcPr>
            <w:tcW w:w="960" w:type="dxa"/>
            <w:noWrap/>
            <w:hideMark/>
          </w:tcPr>
          <w:p w14:paraId="0E5C156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22</w:t>
            </w:r>
          </w:p>
        </w:tc>
        <w:tc>
          <w:tcPr>
            <w:tcW w:w="1280" w:type="dxa"/>
            <w:noWrap/>
            <w:hideMark/>
          </w:tcPr>
          <w:p w14:paraId="7DAD285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-1.1728 </w:t>
            </w:r>
          </w:p>
        </w:tc>
        <w:tc>
          <w:tcPr>
            <w:tcW w:w="1380" w:type="dxa"/>
            <w:noWrap/>
            <w:hideMark/>
          </w:tcPr>
          <w:p w14:paraId="76F1865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-0.8577 </w:t>
            </w:r>
          </w:p>
        </w:tc>
        <w:tc>
          <w:tcPr>
            <w:tcW w:w="1520" w:type="dxa"/>
            <w:noWrap/>
            <w:hideMark/>
          </w:tcPr>
          <w:p w14:paraId="2ABBB7C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-0.6453 </w:t>
            </w:r>
          </w:p>
        </w:tc>
        <w:tc>
          <w:tcPr>
            <w:tcW w:w="1520" w:type="dxa"/>
            <w:noWrap/>
            <w:hideMark/>
          </w:tcPr>
          <w:p w14:paraId="285F914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-0.5192 </w:t>
            </w:r>
          </w:p>
        </w:tc>
        <w:tc>
          <w:tcPr>
            <w:tcW w:w="1480" w:type="dxa"/>
            <w:noWrap/>
            <w:hideMark/>
          </w:tcPr>
          <w:p w14:paraId="7554F4A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-0.4834 </w:t>
            </w:r>
          </w:p>
        </w:tc>
      </w:tr>
      <w:tr w:rsidR="00503B5A" w:rsidRPr="002F41FE" w14:paraId="3F18B82F" w14:textId="77777777" w:rsidTr="00503B5A">
        <w:trPr>
          <w:trHeight w:val="288"/>
        </w:trPr>
        <w:tc>
          <w:tcPr>
            <w:tcW w:w="1206" w:type="dxa"/>
            <w:noWrap/>
            <w:hideMark/>
          </w:tcPr>
          <w:p w14:paraId="2900CEF1"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300393.SZ</w:t>
            </w:r>
          </w:p>
        </w:tc>
        <w:tc>
          <w:tcPr>
            <w:tcW w:w="960" w:type="dxa"/>
            <w:noWrap/>
            <w:hideMark/>
          </w:tcPr>
          <w:p w14:paraId="1F0FCE8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40</w:t>
            </w:r>
          </w:p>
        </w:tc>
        <w:tc>
          <w:tcPr>
            <w:tcW w:w="1280" w:type="dxa"/>
            <w:noWrap/>
            <w:hideMark/>
          </w:tcPr>
          <w:p w14:paraId="3C72651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1.0853 </w:t>
            </w:r>
          </w:p>
        </w:tc>
        <w:tc>
          <w:tcPr>
            <w:tcW w:w="1380" w:type="dxa"/>
            <w:noWrap/>
            <w:hideMark/>
          </w:tcPr>
          <w:p w14:paraId="0B9BD8C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-1.9466 </w:t>
            </w:r>
          </w:p>
        </w:tc>
        <w:tc>
          <w:tcPr>
            <w:tcW w:w="1520" w:type="dxa"/>
            <w:noWrap/>
            <w:hideMark/>
          </w:tcPr>
          <w:p w14:paraId="74D7119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-0.5828 </w:t>
            </w:r>
          </w:p>
        </w:tc>
        <w:tc>
          <w:tcPr>
            <w:tcW w:w="1520" w:type="dxa"/>
            <w:noWrap/>
            <w:hideMark/>
          </w:tcPr>
          <w:p w14:paraId="75C8765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-0.5493 </w:t>
            </w:r>
          </w:p>
        </w:tc>
        <w:tc>
          <w:tcPr>
            <w:tcW w:w="1480" w:type="dxa"/>
            <w:noWrap/>
            <w:hideMark/>
          </w:tcPr>
          <w:p w14:paraId="2670592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-0.5465 </w:t>
            </w:r>
          </w:p>
        </w:tc>
      </w:tr>
      <w:tr w:rsidR="00503B5A" w:rsidRPr="002F41FE" w14:paraId="057A83E5" w14:textId="77777777" w:rsidTr="00503B5A">
        <w:trPr>
          <w:trHeight w:val="288"/>
        </w:trPr>
        <w:tc>
          <w:tcPr>
            <w:tcW w:w="1206" w:type="dxa"/>
            <w:noWrap/>
            <w:hideMark/>
          </w:tcPr>
          <w:p w14:paraId="325EB173"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603017.SH</w:t>
            </w:r>
          </w:p>
        </w:tc>
        <w:tc>
          <w:tcPr>
            <w:tcW w:w="960" w:type="dxa"/>
            <w:noWrap/>
            <w:hideMark/>
          </w:tcPr>
          <w:p w14:paraId="75CA627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39</w:t>
            </w:r>
          </w:p>
        </w:tc>
        <w:tc>
          <w:tcPr>
            <w:tcW w:w="1280" w:type="dxa"/>
            <w:noWrap/>
            <w:hideMark/>
          </w:tcPr>
          <w:p w14:paraId="7030595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-0.0987 </w:t>
            </w:r>
          </w:p>
        </w:tc>
        <w:tc>
          <w:tcPr>
            <w:tcW w:w="1380" w:type="dxa"/>
            <w:noWrap/>
            <w:hideMark/>
          </w:tcPr>
          <w:p w14:paraId="09DFCD2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0.7131 </w:t>
            </w:r>
          </w:p>
        </w:tc>
        <w:tc>
          <w:tcPr>
            <w:tcW w:w="1520" w:type="dxa"/>
            <w:noWrap/>
            <w:hideMark/>
          </w:tcPr>
          <w:p w14:paraId="69CDF85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-0.0130 </w:t>
            </w:r>
          </w:p>
        </w:tc>
        <w:tc>
          <w:tcPr>
            <w:tcW w:w="1520" w:type="dxa"/>
            <w:noWrap/>
            <w:hideMark/>
          </w:tcPr>
          <w:p w14:paraId="0D032D5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0.4218 </w:t>
            </w:r>
          </w:p>
        </w:tc>
        <w:tc>
          <w:tcPr>
            <w:tcW w:w="1480" w:type="dxa"/>
            <w:noWrap/>
            <w:hideMark/>
          </w:tcPr>
          <w:p w14:paraId="4DEFD99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0.5434 </w:t>
            </w:r>
          </w:p>
        </w:tc>
      </w:tr>
      <w:tr w:rsidR="00503B5A" w:rsidRPr="002F41FE" w14:paraId="676F6179" w14:textId="77777777" w:rsidTr="00503B5A">
        <w:trPr>
          <w:trHeight w:val="288"/>
        </w:trPr>
        <w:tc>
          <w:tcPr>
            <w:tcW w:w="1206" w:type="dxa"/>
            <w:noWrap/>
            <w:hideMark/>
          </w:tcPr>
          <w:p w14:paraId="4822911A"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300490.SZ</w:t>
            </w:r>
          </w:p>
        </w:tc>
        <w:tc>
          <w:tcPr>
            <w:tcW w:w="960" w:type="dxa"/>
            <w:noWrap/>
            <w:hideMark/>
          </w:tcPr>
          <w:p w14:paraId="7125730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52</w:t>
            </w:r>
          </w:p>
        </w:tc>
        <w:tc>
          <w:tcPr>
            <w:tcW w:w="1280" w:type="dxa"/>
            <w:noWrap/>
            <w:hideMark/>
          </w:tcPr>
          <w:p w14:paraId="44BAB28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1.2665 </w:t>
            </w:r>
          </w:p>
        </w:tc>
        <w:tc>
          <w:tcPr>
            <w:tcW w:w="1380" w:type="dxa"/>
            <w:noWrap/>
            <w:hideMark/>
          </w:tcPr>
          <w:p w14:paraId="4960B15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0.1408 </w:t>
            </w:r>
          </w:p>
        </w:tc>
        <w:tc>
          <w:tcPr>
            <w:tcW w:w="1520" w:type="dxa"/>
            <w:noWrap/>
            <w:hideMark/>
          </w:tcPr>
          <w:p w14:paraId="1D80934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-0.2082 </w:t>
            </w:r>
          </w:p>
        </w:tc>
        <w:tc>
          <w:tcPr>
            <w:tcW w:w="1520" w:type="dxa"/>
            <w:noWrap/>
            <w:hideMark/>
          </w:tcPr>
          <w:p w14:paraId="2F18562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-0.0914 </w:t>
            </w:r>
          </w:p>
        </w:tc>
        <w:tc>
          <w:tcPr>
            <w:tcW w:w="1480" w:type="dxa"/>
            <w:noWrap/>
            <w:hideMark/>
          </w:tcPr>
          <w:p w14:paraId="53AE794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-0.1269 </w:t>
            </w:r>
          </w:p>
        </w:tc>
      </w:tr>
      <w:tr w:rsidR="00503B5A" w:rsidRPr="002F41FE" w14:paraId="407194E9" w14:textId="77777777" w:rsidTr="00503B5A">
        <w:trPr>
          <w:trHeight w:val="288"/>
        </w:trPr>
        <w:tc>
          <w:tcPr>
            <w:tcW w:w="1206" w:type="dxa"/>
            <w:noWrap/>
            <w:hideMark/>
          </w:tcPr>
          <w:p w14:paraId="36FB4024"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300500.SZ</w:t>
            </w:r>
          </w:p>
        </w:tc>
        <w:tc>
          <w:tcPr>
            <w:tcW w:w="960" w:type="dxa"/>
            <w:noWrap/>
            <w:hideMark/>
          </w:tcPr>
          <w:p w14:paraId="5FD86F1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68</w:t>
            </w:r>
          </w:p>
        </w:tc>
        <w:tc>
          <w:tcPr>
            <w:tcW w:w="1280" w:type="dxa"/>
            <w:noWrap/>
            <w:hideMark/>
          </w:tcPr>
          <w:p w14:paraId="0D2B4A5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-2.3935 </w:t>
            </w:r>
          </w:p>
        </w:tc>
        <w:tc>
          <w:tcPr>
            <w:tcW w:w="1380" w:type="dxa"/>
            <w:noWrap/>
            <w:hideMark/>
          </w:tcPr>
          <w:p w14:paraId="50CF6B7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-0.4213 </w:t>
            </w:r>
          </w:p>
        </w:tc>
        <w:tc>
          <w:tcPr>
            <w:tcW w:w="1520" w:type="dxa"/>
            <w:noWrap/>
            <w:hideMark/>
          </w:tcPr>
          <w:p w14:paraId="405A336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-0.1429 </w:t>
            </w:r>
          </w:p>
        </w:tc>
        <w:tc>
          <w:tcPr>
            <w:tcW w:w="1520" w:type="dxa"/>
            <w:noWrap/>
            <w:hideMark/>
          </w:tcPr>
          <w:p w14:paraId="586EE34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-0.1332 </w:t>
            </w:r>
          </w:p>
        </w:tc>
        <w:tc>
          <w:tcPr>
            <w:tcW w:w="1480" w:type="dxa"/>
            <w:noWrap/>
            <w:hideMark/>
          </w:tcPr>
          <w:p w14:paraId="3112FC9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-0.1303 </w:t>
            </w:r>
          </w:p>
        </w:tc>
      </w:tr>
      <w:tr w:rsidR="00503B5A" w:rsidRPr="002F41FE" w14:paraId="1ED4E4BD" w14:textId="77777777" w:rsidTr="00503B5A">
        <w:trPr>
          <w:trHeight w:val="288"/>
        </w:trPr>
        <w:tc>
          <w:tcPr>
            <w:tcW w:w="1206" w:type="dxa"/>
            <w:noWrap/>
            <w:hideMark/>
          </w:tcPr>
          <w:p w14:paraId="606A76E0"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002822.SZ</w:t>
            </w:r>
          </w:p>
        </w:tc>
        <w:tc>
          <w:tcPr>
            <w:tcW w:w="960" w:type="dxa"/>
            <w:noWrap/>
            <w:hideMark/>
          </w:tcPr>
          <w:p w14:paraId="6F5F4D1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46</w:t>
            </w:r>
          </w:p>
        </w:tc>
        <w:tc>
          <w:tcPr>
            <w:tcW w:w="1280" w:type="dxa"/>
            <w:noWrap/>
            <w:hideMark/>
          </w:tcPr>
          <w:p w14:paraId="361E0DEE"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0.8345 </w:t>
            </w:r>
          </w:p>
        </w:tc>
        <w:tc>
          <w:tcPr>
            <w:tcW w:w="1380" w:type="dxa"/>
            <w:noWrap/>
            <w:hideMark/>
          </w:tcPr>
          <w:p w14:paraId="3A09268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0.4347 </w:t>
            </w:r>
          </w:p>
        </w:tc>
        <w:tc>
          <w:tcPr>
            <w:tcW w:w="1520" w:type="dxa"/>
            <w:noWrap/>
            <w:hideMark/>
          </w:tcPr>
          <w:p w14:paraId="0C17ABF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0.2673 </w:t>
            </w:r>
          </w:p>
        </w:tc>
        <w:tc>
          <w:tcPr>
            <w:tcW w:w="1520" w:type="dxa"/>
            <w:noWrap/>
            <w:hideMark/>
          </w:tcPr>
          <w:p w14:paraId="6817587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0.0856 </w:t>
            </w:r>
          </w:p>
        </w:tc>
        <w:tc>
          <w:tcPr>
            <w:tcW w:w="1480" w:type="dxa"/>
            <w:noWrap/>
            <w:hideMark/>
          </w:tcPr>
          <w:p w14:paraId="62A9956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0.0459 </w:t>
            </w:r>
          </w:p>
        </w:tc>
      </w:tr>
      <w:tr w:rsidR="00503B5A" w:rsidRPr="002F41FE" w14:paraId="4BBF0FCC" w14:textId="77777777" w:rsidTr="00503B5A">
        <w:trPr>
          <w:trHeight w:val="288"/>
        </w:trPr>
        <w:tc>
          <w:tcPr>
            <w:tcW w:w="1206" w:type="dxa"/>
            <w:noWrap/>
            <w:hideMark/>
          </w:tcPr>
          <w:p w14:paraId="6857DE1B"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603098.SH</w:t>
            </w:r>
          </w:p>
        </w:tc>
        <w:tc>
          <w:tcPr>
            <w:tcW w:w="960" w:type="dxa"/>
            <w:noWrap/>
            <w:hideMark/>
          </w:tcPr>
          <w:p w14:paraId="0DF09B8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21</w:t>
            </w:r>
          </w:p>
        </w:tc>
        <w:tc>
          <w:tcPr>
            <w:tcW w:w="1280" w:type="dxa"/>
            <w:noWrap/>
            <w:hideMark/>
          </w:tcPr>
          <w:p w14:paraId="628B958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2.4935 </w:t>
            </w:r>
          </w:p>
        </w:tc>
        <w:tc>
          <w:tcPr>
            <w:tcW w:w="1380" w:type="dxa"/>
            <w:noWrap/>
            <w:hideMark/>
          </w:tcPr>
          <w:p w14:paraId="1FF5710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2.2293 </w:t>
            </w:r>
          </w:p>
        </w:tc>
        <w:tc>
          <w:tcPr>
            <w:tcW w:w="1520" w:type="dxa"/>
            <w:noWrap/>
            <w:hideMark/>
          </w:tcPr>
          <w:p w14:paraId="25FE10D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1.7716 </w:t>
            </w:r>
          </w:p>
        </w:tc>
        <w:tc>
          <w:tcPr>
            <w:tcW w:w="1520" w:type="dxa"/>
            <w:noWrap/>
            <w:hideMark/>
          </w:tcPr>
          <w:p w14:paraId="711E8DD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1.4505 </w:t>
            </w:r>
          </w:p>
        </w:tc>
        <w:tc>
          <w:tcPr>
            <w:tcW w:w="1480" w:type="dxa"/>
            <w:noWrap/>
            <w:hideMark/>
          </w:tcPr>
          <w:p w14:paraId="3C34AC3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1.3367 </w:t>
            </w:r>
          </w:p>
        </w:tc>
      </w:tr>
      <w:tr w:rsidR="00503B5A" w:rsidRPr="002F41FE" w14:paraId="3CAF3196" w14:textId="77777777" w:rsidTr="00503B5A">
        <w:trPr>
          <w:trHeight w:val="288"/>
        </w:trPr>
        <w:tc>
          <w:tcPr>
            <w:tcW w:w="1206" w:type="dxa"/>
            <w:noWrap/>
            <w:hideMark/>
          </w:tcPr>
          <w:p w14:paraId="7BCDD4D4"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603628.SH</w:t>
            </w:r>
          </w:p>
        </w:tc>
        <w:tc>
          <w:tcPr>
            <w:tcW w:w="960" w:type="dxa"/>
            <w:noWrap/>
            <w:hideMark/>
          </w:tcPr>
          <w:p w14:paraId="226AD36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44</w:t>
            </w:r>
          </w:p>
        </w:tc>
        <w:tc>
          <w:tcPr>
            <w:tcW w:w="1280" w:type="dxa"/>
            <w:noWrap/>
            <w:hideMark/>
          </w:tcPr>
          <w:p w14:paraId="773D298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0.1020 </w:t>
            </w:r>
          </w:p>
        </w:tc>
        <w:tc>
          <w:tcPr>
            <w:tcW w:w="1380" w:type="dxa"/>
            <w:noWrap/>
            <w:hideMark/>
          </w:tcPr>
          <w:p w14:paraId="006E02D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-0.5007 </w:t>
            </w:r>
          </w:p>
        </w:tc>
        <w:tc>
          <w:tcPr>
            <w:tcW w:w="1520" w:type="dxa"/>
            <w:noWrap/>
            <w:hideMark/>
          </w:tcPr>
          <w:p w14:paraId="176FEF5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-1.1946 </w:t>
            </w:r>
          </w:p>
        </w:tc>
        <w:tc>
          <w:tcPr>
            <w:tcW w:w="1520" w:type="dxa"/>
            <w:noWrap/>
            <w:hideMark/>
          </w:tcPr>
          <w:p w14:paraId="7B8E9FC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-1.1001 </w:t>
            </w:r>
          </w:p>
        </w:tc>
        <w:tc>
          <w:tcPr>
            <w:tcW w:w="1480" w:type="dxa"/>
            <w:noWrap/>
            <w:hideMark/>
          </w:tcPr>
          <w:p w14:paraId="2994633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-0.8979 </w:t>
            </w:r>
          </w:p>
        </w:tc>
      </w:tr>
      <w:tr w:rsidR="00503B5A" w:rsidRPr="002F41FE" w14:paraId="414DDDE1" w14:textId="77777777" w:rsidTr="00503B5A">
        <w:trPr>
          <w:trHeight w:val="288"/>
        </w:trPr>
        <w:tc>
          <w:tcPr>
            <w:tcW w:w="1206" w:type="dxa"/>
            <w:noWrap/>
            <w:hideMark/>
          </w:tcPr>
          <w:p w14:paraId="280E23F5"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300746.SZ</w:t>
            </w:r>
          </w:p>
        </w:tc>
        <w:tc>
          <w:tcPr>
            <w:tcW w:w="960" w:type="dxa"/>
            <w:noWrap/>
            <w:hideMark/>
          </w:tcPr>
          <w:p w14:paraId="41862706"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32</w:t>
            </w:r>
          </w:p>
        </w:tc>
        <w:tc>
          <w:tcPr>
            <w:tcW w:w="1280" w:type="dxa"/>
            <w:noWrap/>
            <w:hideMark/>
          </w:tcPr>
          <w:p w14:paraId="5293F3C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0.5787 </w:t>
            </w:r>
          </w:p>
        </w:tc>
        <w:tc>
          <w:tcPr>
            <w:tcW w:w="1380" w:type="dxa"/>
            <w:noWrap/>
            <w:hideMark/>
          </w:tcPr>
          <w:p w14:paraId="10FC415C"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-0.5014 </w:t>
            </w:r>
          </w:p>
        </w:tc>
        <w:tc>
          <w:tcPr>
            <w:tcW w:w="1520" w:type="dxa"/>
            <w:noWrap/>
            <w:hideMark/>
          </w:tcPr>
          <w:p w14:paraId="38642A0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-1.0526 </w:t>
            </w:r>
          </w:p>
        </w:tc>
        <w:tc>
          <w:tcPr>
            <w:tcW w:w="1520" w:type="dxa"/>
            <w:noWrap/>
            <w:hideMark/>
          </w:tcPr>
          <w:p w14:paraId="71489EF3"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-1.1022 </w:t>
            </w:r>
          </w:p>
        </w:tc>
        <w:tc>
          <w:tcPr>
            <w:tcW w:w="1480" w:type="dxa"/>
            <w:noWrap/>
            <w:hideMark/>
          </w:tcPr>
          <w:p w14:paraId="0A06C8B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-0.0598 </w:t>
            </w:r>
          </w:p>
        </w:tc>
      </w:tr>
      <w:tr w:rsidR="00503B5A" w:rsidRPr="002F41FE" w14:paraId="5E5B321F" w14:textId="77777777" w:rsidTr="00503B5A">
        <w:trPr>
          <w:trHeight w:val="288"/>
        </w:trPr>
        <w:tc>
          <w:tcPr>
            <w:tcW w:w="1206" w:type="dxa"/>
            <w:noWrap/>
            <w:hideMark/>
          </w:tcPr>
          <w:p w14:paraId="6345E7B0"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603105.SH</w:t>
            </w:r>
          </w:p>
        </w:tc>
        <w:tc>
          <w:tcPr>
            <w:tcW w:w="960" w:type="dxa"/>
            <w:noWrap/>
            <w:hideMark/>
          </w:tcPr>
          <w:p w14:paraId="0BD63AC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37</w:t>
            </w:r>
          </w:p>
        </w:tc>
        <w:tc>
          <w:tcPr>
            <w:tcW w:w="1280" w:type="dxa"/>
            <w:noWrap/>
            <w:hideMark/>
          </w:tcPr>
          <w:p w14:paraId="349AD1F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-0.3291 </w:t>
            </w:r>
          </w:p>
        </w:tc>
        <w:tc>
          <w:tcPr>
            <w:tcW w:w="1380" w:type="dxa"/>
            <w:noWrap/>
            <w:hideMark/>
          </w:tcPr>
          <w:p w14:paraId="3274F3F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-0.6568 </w:t>
            </w:r>
          </w:p>
        </w:tc>
        <w:tc>
          <w:tcPr>
            <w:tcW w:w="1520" w:type="dxa"/>
            <w:noWrap/>
            <w:hideMark/>
          </w:tcPr>
          <w:p w14:paraId="4BC0871A"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-0.9093 </w:t>
            </w:r>
          </w:p>
        </w:tc>
        <w:tc>
          <w:tcPr>
            <w:tcW w:w="1520" w:type="dxa"/>
            <w:noWrap/>
            <w:hideMark/>
          </w:tcPr>
          <w:p w14:paraId="4150FBBB"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-0.4958 </w:t>
            </w:r>
          </w:p>
        </w:tc>
        <w:tc>
          <w:tcPr>
            <w:tcW w:w="1480" w:type="dxa"/>
            <w:noWrap/>
            <w:hideMark/>
          </w:tcPr>
          <w:p w14:paraId="5AD5FD1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-0.3261 </w:t>
            </w:r>
          </w:p>
        </w:tc>
      </w:tr>
      <w:tr w:rsidR="00503B5A" w:rsidRPr="002F41FE" w14:paraId="7AAF3E98" w14:textId="77777777" w:rsidTr="00503B5A">
        <w:trPr>
          <w:trHeight w:val="288"/>
        </w:trPr>
        <w:tc>
          <w:tcPr>
            <w:tcW w:w="1206" w:type="dxa"/>
            <w:noWrap/>
            <w:hideMark/>
          </w:tcPr>
          <w:p w14:paraId="6B9EB623"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601615.SH</w:t>
            </w:r>
          </w:p>
        </w:tc>
        <w:tc>
          <w:tcPr>
            <w:tcW w:w="960" w:type="dxa"/>
            <w:noWrap/>
            <w:hideMark/>
          </w:tcPr>
          <w:p w14:paraId="42BE459D"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44</w:t>
            </w:r>
          </w:p>
        </w:tc>
        <w:tc>
          <w:tcPr>
            <w:tcW w:w="1280" w:type="dxa"/>
            <w:noWrap/>
            <w:hideMark/>
          </w:tcPr>
          <w:p w14:paraId="18817D4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2.4071 </w:t>
            </w:r>
          </w:p>
        </w:tc>
        <w:tc>
          <w:tcPr>
            <w:tcW w:w="1380" w:type="dxa"/>
            <w:noWrap/>
            <w:hideMark/>
          </w:tcPr>
          <w:p w14:paraId="3AAF5C6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1.1944 </w:t>
            </w:r>
          </w:p>
        </w:tc>
        <w:tc>
          <w:tcPr>
            <w:tcW w:w="1520" w:type="dxa"/>
            <w:noWrap/>
            <w:hideMark/>
          </w:tcPr>
          <w:p w14:paraId="74783520"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0.9017 </w:t>
            </w:r>
          </w:p>
        </w:tc>
        <w:tc>
          <w:tcPr>
            <w:tcW w:w="1520" w:type="dxa"/>
            <w:noWrap/>
            <w:hideMark/>
          </w:tcPr>
          <w:p w14:paraId="525346A9"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1.7588 </w:t>
            </w:r>
          </w:p>
        </w:tc>
        <w:tc>
          <w:tcPr>
            <w:tcW w:w="1480" w:type="dxa"/>
            <w:noWrap/>
            <w:hideMark/>
          </w:tcPr>
          <w:p w14:paraId="5FCA9B28"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-0.0010 </w:t>
            </w:r>
          </w:p>
        </w:tc>
      </w:tr>
      <w:tr w:rsidR="00503B5A" w:rsidRPr="002F41FE" w14:paraId="672468CF" w14:textId="77777777" w:rsidTr="00503B5A">
        <w:trPr>
          <w:trHeight w:val="288"/>
        </w:trPr>
        <w:tc>
          <w:tcPr>
            <w:tcW w:w="1206" w:type="dxa"/>
            <w:noWrap/>
            <w:hideMark/>
          </w:tcPr>
          <w:p w14:paraId="30015118" w14:textId="77777777" w:rsidR="00503B5A" w:rsidRPr="002F41FE" w:rsidRDefault="00503B5A" w:rsidP="004D75EA">
            <w:pPr>
              <w:widowControl/>
              <w:jc w:val="left"/>
              <w:rPr>
                <w:rFonts w:ascii="宋体" w:hAnsi="宋体" w:cs="宋体"/>
                <w:color w:val="000000"/>
                <w:kern w:val="0"/>
                <w:sz w:val="22"/>
              </w:rPr>
            </w:pPr>
            <w:r w:rsidRPr="002F41FE">
              <w:rPr>
                <w:rFonts w:ascii="宋体" w:hAnsi="宋体" w:cs="宋体" w:hint="eastAsia"/>
                <w:color w:val="000000"/>
                <w:kern w:val="0"/>
                <w:sz w:val="22"/>
              </w:rPr>
              <w:t>003035.SZ</w:t>
            </w:r>
          </w:p>
        </w:tc>
        <w:tc>
          <w:tcPr>
            <w:tcW w:w="960" w:type="dxa"/>
            <w:noWrap/>
            <w:hideMark/>
          </w:tcPr>
          <w:p w14:paraId="3D90D392"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37</w:t>
            </w:r>
          </w:p>
        </w:tc>
        <w:tc>
          <w:tcPr>
            <w:tcW w:w="1280" w:type="dxa"/>
            <w:noWrap/>
            <w:hideMark/>
          </w:tcPr>
          <w:p w14:paraId="7811574F"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1.0294 </w:t>
            </w:r>
          </w:p>
        </w:tc>
        <w:tc>
          <w:tcPr>
            <w:tcW w:w="1380" w:type="dxa"/>
            <w:noWrap/>
            <w:hideMark/>
          </w:tcPr>
          <w:p w14:paraId="4C4F78A5"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1.7527 </w:t>
            </w:r>
          </w:p>
        </w:tc>
        <w:tc>
          <w:tcPr>
            <w:tcW w:w="1520" w:type="dxa"/>
            <w:noWrap/>
            <w:hideMark/>
          </w:tcPr>
          <w:p w14:paraId="1FD43107"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1.8573 </w:t>
            </w:r>
          </w:p>
        </w:tc>
        <w:tc>
          <w:tcPr>
            <w:tcW w:w="1520" w:type="dxa"/>
            <w:noWrap/>
            <w:hideMark/>
          </w:tcPr>
          <w:p w14:paraId="31368941"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1.7674 </w:t>
            </w:r>
          </w:p>
        </w:tc>
        <w:tc>
          <w:tcPr>
            <w:tcW w:w="1480" w:type="dxa"/>
            <w:noWrap/>
            <w:hideMark/>
          </w:tcPr>
          <w:p w14:paraId="143C44B4" w14:textId="77777777" w:rsidR="00503B5A" w:rsidRPr="002F41FE" w:rsidRDefault="00503B5A" w:rsidP="004D75EA">
            <w:pPr>
              <w:widowControl/>
              <w:jc w:val="right"/>
              <w:rPr>
                <w:rFonts w:ascii="宋体" w:hAnsi="宋体" w:cs="宋体"/>
                <w:color w:val="000000"/>
                <w:kern w:val="0"/>
                <w:sz w:val="22"/>
              </w:rPr>
            </w:pPr>
            <w:r w:rsidRPr="002F41FE">
              <w:rPr>
                <w:rFonts w:ascii="宋体" w:hAnsi="宋体" w:cs="宋体" w:hint="eastAsia"/>
                <w:color w:val="000000"/>
                <w:kern w:val="0"/>
                <w:sz w:val="22"/>
              </w:rPr>
              <w:t xml:space="preserve">1.6616 </w:t>
            </w:r>
          </w:p>
        </w:tc>
      </w:tr>
    </w:tbl>
    <w:p w14:paraId="216C56B2" w14:textId="1C755202" w:rsidR="004D75EA" w:rsidRDefault="00503B5A" w:rsidP="007849B8">
      <w:r>
        <w:rPr>
          <w:rFonts w:hint="eastAsia"/>
        </w:rPr>
        <w:t>所以在综合考虑分数和预测得到的股价后，我们给出的交易策略如下：</w:t>
      </w:r>
    </w:p>
    <w:p w14:paraId="2053A88E" w14:textId="2901017F" w:rsidR="00FA130B" w:rsidRDefault="00321928" w:rsidP="007849B8">
      <w:r>
        <w:rPr>
          <w:rFonts w:hint="eastAsia"/>
        </w:rPr>
        <w:t>6</w:t>
      </w:r>
      <w:r>
        <w:t>.1</w:t>
      </w:r>
      <w:r>
        <w:rPr>
          <w:rFonts w:hint="eastAsia"/>
        </w:rPr>
        <w:t>：</w:t>
      </w:r>
    </w:p>
    <w:p w14:paraId="26A3407A" w14:textId="6A6BC003" w:rsidR="00E419A8" w:rsidRPr="00503B5A" w:rsidRDefault="00503B5A" w:rsidP="00503B5A">
      <w:pPr>
        <w:widowControl/>
        <w:rPr>
          <w:rFonts w:ascii="等线" w:eastAsia="等线" w:hAnsi="等线" w:cs="宋体" w:hint="eastAsia"/>
          <w:color w:val="000000"/>
          <w:kern w:val="0"/>
          <w:sz w:val="22"/>
        </w:rPr>
      </w:pPr>
      <w:r>
        <w:rPr>
          <w:rFonts w:hint="eastAsia"/>
        </w:rPr>
        <w:t>入仓50万于</w:t>
      </w:r>
      <w:r w:rsidRPr="00503B5A">
        <w:t>002218.SZ</w:t>
      </w:r>
      <w:r>
        <w:rPr>
          <w:rFonts w:hint="eastAsia"/>
        </w:rPr>
        <w:t>股票，入仓20万于</w:t>
      </w:r>
      <w:r w:rsidRPr="00503B5A">
        <w:t>002641.SZ</w:t>
      </w:r>
      <w:r>
        <w:rPr>
          <w:rFonts w:hint="eastAsia"/>
        </w:rPr>
        <w:t>股票，入仓30万于</w:t>
      </w:r>
      <w:r w:rsidRPr="00503B5A">
        <w:rPr>
          <w:rFonts w:ascii="等线" w:eastAsia="等线" w:hAnsi="等线" w:cs="宋体" w:hint="eastAsia"/>
          <w:color w:val="000000"/>
          <w:kern w:val="0"/>
          <w:sz w:val="22"/>
        </w:rPr>
        <w:t>603098.SH</w:t>
      </w:r>
      <w:r>
        <w:rPr>
          <w:rFonts w:ascii="等线" w:eastAsia="等线" w:hAnsi="等线" w:cs="宋体" w:hint="eastAsia"/>
          <w:color w:val="000000"/>
          <w:kern w:val="0"/>
          <w:sz w:val="22"/>
        </w:rPr>
        <w:t>股票</w:t>
      </w:r>
    </w:p>
    <w:p w14:paraId="5BD9B3FB" w14:textId="66FD4228" w:rsidR="00321928" w:rsidRDefault="00321928" w:rsidP="007849B8">
      <w:r>
        <w:rPr>
          <w:rFonts w:hint="eastAsia"/>
        </w:rPr>
        <w:t>6</w:t>
      </w:r>
      <w:r>
        <w:t>.</w:t>
      </w:r>
      <w:r w:rsidR="00503B5A">
        <w:rPr>
          <w:rFonts w:hint="eastAsia"/>
        </w:rPr>
        <w:t>4</w:t>
      </w:r>
      <w:r>
        <w:rPr>
          <w:rFonts w:hint="eastAsia"/>
        </w:rPr>
        <w:t>：</w:t>
      </w:r>
    </w:p>
    <w:p w14:paraId="77D6D532" w14:textId="726A046A" w:rsidR="00503B5A" w:rsidRDefault="00503B5A" w:rsidP="007849B8">
      <w:pPr>
        <w:rPr>
          <w:rFonts w:ascii="等线" w:eastAsia="等线" w:hAnsi="等线" w:cs="宋体"/>
          <w:color w:val="000000"/>
          <w:kern w:val="0"/>
          <w:sz w:val="22"/>
        </w:rPr>
      </w:pPr>
      <w:r>
        <w:rPr>
          <w:rFonts w:ascii="等线" w:eastAsia="等线" w:hAnsi="等线" w:cs="宋体" w:hint="eastAsia"/>
          <w:color w:val="000000"/>
          <w:kern w:val="0"/>
          <w:sz w:val="22"/>
        </w:rPr>
        <w:t>卖出当前持仓，最终可得收益大致为</w:t>
      </w:r>
      <w:r w:rsidRPr="00503B5A">
        <w:rPr>
          <w:rFonts w:ascii="等线" w:eastAsia="等线" w:hAnsi="等线" w:cs="宋体"/>
          <w:color w:val="000000"/>
          <w:kern w:val="0"/>
          <w:sz w:val="22"/>
        </w:rPr>
        <w:t>102.13787</w:t>
      </w:r>
      <w:r>
        <w:rPr>
          <w:rFonts w:ascii="等线" w:eastAsia="等线" w:hAnsi="等线" w:cs="宋体" w:hint="eastAsia"/>
          <w:color w:val="000000"/>
          <w:kern w:val="0"/>
          <w:sz w:val="22"/>
        </w:rPr>
        <w:t>万元。</w:t>
      </w:r>
    </w:p>
    <w:p w14:paraId="6838489F" w14:textId="3A6D9875" w:rsidR="00503B5A" w:rsidRDefault="00503B5A" w:rsidP="007849B8">
      <w:pP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color w:val="000000"/>
          <w:kern w:val="0"/>
          <w:sz w:val="22"/>
        </w:rPr>
        <w:t>.7:</w:t>
      </w:r>
    </w:p>
    <w:p w14:paraId="197E85E4" w14:textId="3054D539" w:rsidR="00503B5A" w:rsidRDefault="00503B5A" w:rsidP="007849B8">
      <w:r>
        <w:rPr>
          <w:rFonts w:hint="eastAsia"/>
        </w:rPr>
        <w:t>入仓</w:t>
      </w:r>
      <w:r w:rsidRPr="00503B5A">
        <w:t>000012.SZ</w:t>
      </w:r>
      <w:r>
        <w:rPr>
          <w:rFonts w:hint="eastAsia"/>
        </w:rPr>
        <w:t>，花费70万元。</w:t>
      </w:r>
    </w:p>
    <w:p w14:paraId="4184C04D" w14:textId="6F9F8276" w:rsidR="00503B5A" w:rsidRDefault="00503B5A" w:rsidP="007849B8">
      <w:r>
        <w:rPr>
          <w:rFonts w:hint="eastAsia"/>
        </w:rPr>
        <w:t>入仓</w:t>
      </w:r>
      <w:r w:rsidRPr="00503B5A">
        <w:t>002218.SZ</w:t>
      </w:r>
      <w:r>
        <w:rPr>
          <w:rFonts w:hint="eastAsia"/>
        </w:rPr>
        <w:t>，花费32万元。</w:t>
      </w:r>
    </w:p>
    <w:p w14:paraId="4EBE4538" w14:textId="4F17A53E" w:rsidR="00321928" w:rsidRDefault="00321928" w:rsidP="007849B8">
      <w:r>
        <w:rPr>
          <w:rFonts w:hint="eastAsia"/>
        </w:rPr>
        <w:t>6</w:t>
      </w:r>
      <w:r w:rsidR="00503B5A">
        <w:t>.1</w:t>
      </w:r>
      <w:r w:rsidR="00503B5A">
        <w:rPr>
          <w:rFonts w:hint="eastAsia"/>
        </w:rPr>
        <w:t>1</w:t>
      </w:r>
      <w:r>
        <w:rPr>
          <w:rFonts w:hint="eastAsia"/>
        </w:rPr>
        <w:t>：</w:t>
      </w:r>
    </w:p>
    <w:p w14:paraId="29C575F2" w14:textId="77777777" w:rsidR="00EB6ACD" w:rsidRPr="00503B5A" w:rsidRDefault="00EB6ACD" w:rsidP="00EB6ACD">
      <w:pPr>
        <w:widowControl/>
        <w:rPr>
          <w:rFonts w:ascii="等线" w:eastAsia="等线" w:hAnsi="等线" w:cs="宋体" w:hint="eastAsia"/>
          <w:color w:val="000000"/>
          <w:kern w:val="0"/>
          <w:sz w:val="22"/>
        </w:rPr>
      </w:pPr>
      <w:r>
        <w:rPr>
          <w:rFonts w:ascii="等线" w:eastAsia="等线" w:hAnsi="等线" w:cs="宋体" w:hint="eastAsia"/>
          <w:color w:val="000000"/>
          <w:kern w:val="0"/>
          <w:sz w:val="22"/>
        </w:rPr>
        <w:t>空仓，</w:t>
      </w:r>
      <w:r>
        <w:rPr>
          <w:rFonts w:hint="eastAsia"/>
        </w:rPr>
        <w:t>此时收益大致为</w:t>
      </w:r>
      <w:r w:rsidRPr="00503B5A">
        <w:rPr>
          <w:rFonts w:ascii="等线" w:eastAsia="等线" w:hAnsi="等线" w:cs="宋体" w:hint="eastAsia"/>
          <w:color w:val="000000"/>
          <w:kern w:val="0"/>
          <w:sz w:val="22"/>
        </w:rPr>
        <w:t>102.722304</w:t>
      </w:r>
      <w:r>
        <w:rPr>
          <w:rFonts w:ascii="等线" w:eastAsia="等线" w:hAnsi="等线" w:cs="宋体" w:hint="eastAsia"/>
          <w:color w:val="000000"/>
          <w:kern w:val="0"/>
          <w:sz w:val="22"/>
        </w:rPr>
        <w:t>万元。</w:t>
      </w:r>
    </w:p>
    <w:p w14:paraId="0E994967" w14:textId="2EAFF3B8" w:rsidR="00503B5A" w:rsidRDefault="00503B5A" w:rsidP="00503B5A">
      <w:pPr>
        <w:widowControl/>
        <w:rPr>
          <w:rFonts w:ascii="等线" w:eastAsia="等线" w:hAnsi="等线" w:cs="宋体"/>
          <w:color w:val="000000"/>
          <w:kern w:val="0"/>
          <w:sz w:val="22"/>
        </w:rPr>
      </w:pPr>
    </w:p>
    <w:p w14:paraId="01193845" w14:textId="3A3771DA" w:rsidR="00321928" w:rsidRDefault="00321928" w:rsidP="007849B8">
      <w:r>
        <w:rPr>
          <w:rFonts w:hint="eastAsia"/>
        </w:rPr>
        <w:t>6</w:t>
      </w:r>
      <w:r>
        <w:t>.15</w:t>
      </w:r>
      <w:r>
        <w:rPr>
          <w:rFonts w:hint="eastAsia"/>
        </w:rPr>
        <w:t>：</w:t>
      </w:r>
    </w:p>
    <w:p w14:paraId="441D6903" w14:textId="77777777" w:rsidR="00EB6ACD" w:rsidRDefault="00EB6ACD" w:rsidP="00EB6ACD">
      <w:r>
        <w:rPr>
          <w:rFonts w:hint="eastAsia"/>
        </w:rPr>
        <w:t>入仓</w:t>
      </w:r>
      <w:r w:rsidRPr="00503B5A">
        <w:t>000012.SZ</w:t>
      </w:r>
      <w:r>
        <w:rPr>
          <w:rFonts w:hint="eastAsia"/>
        </w:rPr>
        <w:t>，花费80万元。</w:t>
      </w:r>
    </w:p>
    <w:p w14:paraId="37527454" w14:textId="77777777" w:rsidR="00EB6ACD" w:rsidRDefault="00EB6ACD" w:rsidP="00EB6ACD">
      <w:pPr>
        <w:widowControl/>
        <w:rPr>
          <w:rFonts w:ascii="等线" w:eastAsia="等线" w:hAnsi="等线" w:cs="宋体"/>
          <w:color w:val="000000"/>
          <w:kern w:val="0"/>
          <w:sz w:val="22"/>
        </w:rPr>
      </w:pPr>
      <w:r>
        <w:rPr>
          <w:rFonts w:hint="eastAsia"/>
        </w:rPr>
        <w:t>入仓</w:t>
      </w:r>
      <w:r w:rsidRPr="00503B5A">
        <w:rPr>
          <w:rFonts w:ascii="等线" w:eastAsia="等线" w:hAnsi="等线" w:cs="宋体" w:hint="eastAsia"/>
          <w:color w:val="000000"/>
          <w:kern w:val="0"/>
          <w:sz w:val="22"/>
        </w:rPr>
        <w:t>000027.SZ</w:t>
      </w:r>
      <w:r>
        <w:rPr>
          <w:rFonts w:ascii="等线" w:eastAsia="等线" w:hAnsi="等线" w:cs="宋体" w:hint="eastAsia"/>
          <w:color w:val="000000"/>
          <w:kern w:val="0"/>
          <w:sz w:val="22"/>
        </w:rPr>
        <w:t>，花费20万元。</w:t>
      </w:r>
    </w:p>
    <w:p w14:paraId="714584FE" w14:textId="77777777" w:rsidR="00EB6ACD" w:rsidRDefault="00EB6ACD" w:rsidP="00EB6ACD">
      <w:pPr>
        <w:widowControl/>
        <w:rPr>
          <w:rFonts w:ascii="等线" w:eastAsia="等线" w:hAnsi="等线" w:cs="宋体"/>
          <w:color w:val="000000"/>
          <w:kern w:val="0"/>
          <w:sz w:val="22"/>
        </w:rPr>
      </w:pPr>
      <w:r>
        <w:rPr>
          <w:rFonts w:ascii="等线" w:eastAsia="等线" w:hAnsi="等线" w:cs="宋体" w:hint="eastAsia"/>
          <w:color w:val="000000"/>
          <w:kern w:val="0"/>
          <w:sz w:val="22"/>
        </w:rPr>
        <w:t>入仓</w:t>
      </w:r>
      <w:r w:rsidRPr="00503B5A">
        <w:rPr>
          <w:rFonts w:ascii="等线" w:eastAsia="等线" w:hAnsi="等线" w:cs="宋体" w:hint="eastAsia"/>
          <w:color w:val="000000"/>
          <w:kern w:val="0"/>
          <w:sz w:val="22"/>
        </w:rPr>
        <w:t>002047.SZ</w:t>
      </w:r>
      <w:r>
        <w:rPr>
          <w:rFonts w:ascii="等线" w:eastAsia="等线" w:hAnsi="等线" w:cs="宋体" w:hint="eastAsia"/>
          <w:color w:val="000000"/>
          <w:kern w:val="0"/>
          <w:sz w:val="22"/>
        </w:rPr>
        <w:t>，花费2.</w:t>
      </w:r>
      <w:r>
        <w:rPr>
          <w:rFonts w:ascii="等线" w:eastAsia="等线" w:hAnsi="等线" w:cs="宋体"/>
          <w:color w:val="000000"/>
          <w:kern w:val="0"/>
          <w:sz w:val="22"/>
        </w:rPr>
        <w:t>7</w:t>
      </w:r>
      <w:r>
        <w:rPr>
          <w:rFonts w:ascii="等线" w:eastAsia="等线" w:hAnsi="等线" w:cs="宋体" w:hint="eastAsia"/>
          <w:color w:val="000000"/>
          <w:kern w:val="0"/>
          <w:sz w:val="22"/>
        </w:rPr>
        <w:t>万元。</w:t>
      </w:r>
    </w:p>
    <w:p w14:paraId="119E4C7A" w14:textId="174A8907" w:rsidR="00321928" w:rsidRDefault="00321928" w:rsidP="007849B8">
      <w:r>
        <w:rPr>
          <w:rFonts w:hint="eastAsia"/>
        </w:rPr>
        <w:t>6</w:t>
      </w:r>
      <w:r w:rsidR="00503B5A">
        <w:t>.</w:t>
      </w:r>
      <w:r w:rsidR="00503B5A">
        <w:rPr>
          <w:rFonts w:hint="eastAsia"/>
        </w:rPr>
        <w:t>18</w:t>
      </w:r>
      <w:r>
        <w:rPr>
          <w:rFonts w:hint="eastAsia"/>
        </w:rPr>
        <w:t>：</w:t>
      </w:r>
    </w:p>
    <w:p w14:paraId="2177894B" w14:textId="779AED0D" w:rsidR="00EB6ACD" w:rsidRPr="00EB6ACD" w:rsidRDefault="00EB6ACD" w:rsidP="00EB6ACD">
      <w:pPr>
        <w:widowControl/>
        <w:rPr>
          <w:rFonts w:ascii="等线" w:eastAsia="等线" w:hAnsi="等线" w:cs="宋体" w:hint="eastAsia"/>
          <w:color w:val="000000"/>
          <w:kern w:val="0"/>
          <w:sz w:val="22"/>
        </w:rPr>
      </w:pPr>
      <w:r>
        <w:rPr>
          <w:rFonts w:hint="eastAsia"/>
        </w:rPr>
        <w:t>空仓，此时收益为</w:t>
      </w:r>
      <w:r w:rsidRPr="00EB6ACD">
        <w:rPr>
          <w:rFonts w:ascii="等线" w:eastAsia="等线" w:hAnsi="等线" w:cs="宋体" w:hint="eastAsia"/>
          <w:color w:val="000000"/>
          <w:kern w:val="0"/>
          <w:sz w:val="22"/>
        </w:rPr>
        <w:t>103.5077</w:t>
      </w:r>
      <w:r>
        <w:rPr>
          <w:rFonts w:ascii="等线" w:eastAsia="等线" w:hAnsi="等线" w:cs="宋体" w:hint="eastAsia"/>
          <w:color w:val="000000"/>
          <w:kern w:val="0"/>
          <w:sz w:val="22"/>
        </w:rPr>
        <w:t>万元。</w:t>
      </w:r>
    </w:p>
    <w:p w14:paraId="2023E6A2" w14:textId="19C679EC" w:rsidR="00321928" w:rsidRDefault="00321928" w:rsidP="007849B8">
      <w:r>
        <w:rPr>
          <w:rFonts w:hint="eastAsia"/>
        </w:rPr>
        <w:t>6.2</w:t>
      </w:r>
      <w:r w:rsidR="00503B5A">
        <w:rPr>
          <w:rFonts w:hint="eastAsia"/>
        </w:rPr>
        <w:t>1</w:t>
      </w:r>
      <w:r>
        <w:rPr>
          <w:rFonts w:hint="eastAsia"/>
        </w:rPr>
        <w:t>：</w:t>
      </w:r>
    </w:p>
    <w:p w14:paraId="2A4C2B01" w14:textId="14252BE5" w:rsidR="00EB6ACD" w:rsidRPr="00EB6ACD" w:rsidRDefault="00EB6ACD" w:rsidP="00EB6ACD">
      <w:pPr>
        <w:widowControl/>
        <w:rPr>
          <w:rFonts w:ascii="等线" w:eastAsia="等线" w:hAnsi="等线" w:cs="宋体"/>
          <w:color w:val="000000"/>
          <w:kern w:val="0"/>
          <w:sz w:val="22"/>
        </w:rPr>
      </w:pPr>
      <w:r>
        <w:rPr>
          <w:rFonts w:hint="eastAsia"/>
        </w:rPr>
        <w:t>入仓</w:t>
      </w:r>
      <w:r w:rsidRPr="00EB6ACD">
        <w:rPr>
          <w:rFonts w:ascii="等线" w:eastAsia="等线" w:hAnsi="等线" w:cs="宋体" w:hint="eastAsia"/>
          <w:color w:val="000000"/>
          <w:kern w:val="0"/>
          <w:sz w:val="22"/>
        </w:rPr>
        <w:t>601615.SH</w:t>
      </w:r>
      <w:r>
        <w:rPr>
          <w:rFonts w:ascii="等线" w:eastAsia="等线" w:hAnsi="等线" w:cs="宋体" w:hint="eastAsia"/>
          <w:color w:val="000000"/>
          <w:kern w:val="0"/>
          <w:sz w:val="22"/>
        </w:rPr>
        <w:t>，</w:t>
      </w:r>
      <w:r>
        <w:rPr>
          <w:rFonts w:hint="eastAsia"/>
        </w:rPr>
        <w:t>花费</w:t>
      </w:r>
      <w:r>
        <w:rPr>
          <w:rFonts w:hint="eastAsia"/>
        </w:rPr>
        <w:t>50</w:t>
      </w:r>
      <w:r>
        <w:rPr>
          <w:rFonts w:hint="eastAsia"/>
        </w:rPr>
        <w:t>万元。</w:t>
      </w:r>
    </w:p>
    <w:p w14:paraId="471A96F6" w14:textId="6DD738A4" w:rsidR="00EB6ACD" w:rsidRDefault="00EB6ACD" w:rsidP="00EB6ACD">
      <w:pPr>
        <w:widowControl/>
        <w:rPr>
          <w:rFonts w:ascii="等线" w:eastAsia="等线" w:hAnsi="等线" w:cs="宋体"/>
          <w:color w:val="000000"/>
          <w:kern w:val="0"/>
          <w:sz w:val="22"/>
        </w:rPr>
      </w:pPr>
      <w:r>
        <w:rPr>
          <w:rFonts w:hint="eastAsia"/>
        </w:rPr>
        <w:lastRenderedPageBreak/>
        <w:t>入仓</w:t>
      </w:r>
      <w:r w:rsidRPr="00EB6ACD">
        <w:rPr>
          <w:rFonts w:ascii="等线" w:eastAsia="等线" w:hAnsi="等线" w:cs="宋体" w:hint="eastAsia"/>
          <w:color w:val="000000"/>
          <w:kern w:val="0"/>
          <w:sz w:val="22"/>
        </w:rPr>
        <w:t>003035.SZ</w:t>
      </w:r>
      <w:r>
        <w:rPr>
          <w:rFonts w:ascii="等线" w:eastAsia="等线" w:hAnsi="等线" w:cs="宋体" w:hint="eastAsia"/>
          <w:color w:val="000000"/>
          <w:kern w:val="0"/>
          <w:sz w:val="22"/>
        </w:rPr>
        <w:t>，花费</w:t>
      </w:r>
      <w:r>
        <w:rPr>
          <w:rFonts w:ascii="等线" w:eastAsia="等线" w:hAnsi="等线" w:cs="宋体" w:hint="eastAsia"/>
          <w:color w:val="000000"/>
          <w:kern w:val="0"/>
          <w:sz w:val="22"/>
        </w:rPr>
        <w:t>3</w:t>
      </w:r>
      <w:r>
        <w:rPr>
          <w:rFonts w:ascii="等线" w:eastAsia="等线" w:hAnsi="等线" w:cs="宋体" w:hint="eastAsia"/>
          <w:color w:val="000000"/>
          <w:kern w:val="0"/>
          <w:sz w:val="22"/>
        </w:rPr>
        <w:t>0万元。</w:t>
      </w:r>
    </w:p>
    <w:p w14:paraId="6E400D53" w14:textId="381ABD90" w:rsidR="00EB6ACD" w:rsidRPr="00EB6ACD" w:rsidRDefault="00EB6ACD" w:rsidP="00EB6ACD">
      <w:pPr>
        <w:widowControl/>
        <w:rPr>
          <w:rFonts w:ascii="等线" w:eastAsia="等线" w:hAnsi="等线" w:cs="宋体" w:hint="eastAsia"/>
          <w:color w:val="000000"/>
          <w:kern w:val="0"/>
          <w:sz w:val="22"/>
        </w:rPr>
      </w:pPr>
      <w:r>
        <w:rPr>
          <w:rFonts w:ascii="等线" w:eastAsia="等线" w:hAnsi="等线" w:cs="宋体" w:hint="eastAsia"/>
          <w:color w:val="000000"/>
          <w:kern w:val="0"/>
          <w:sz w:val="22"/>
        </w:rPr>
        <w:t>入仓</w:t>
      </w:r>
      <w:r w:rsidRPr="00EB6ACD">
        <w:rPr>
          <w:rFonts w:ascii="等线" w:eastAsia="等线" w:hAnsi="等线" w:cs="宋体" w:hint="eastAsia"/>
          <w:color w:val="000000"/>
          <w:kern w:val="0"/>
          <w:sz w:val="22"/>
        </w:rPr>
        <w:t>603098.SH</w:t>
      </w:r>
      <w:r>
        <w:rPr>
          <w:rFonts w:ascii="等线" w:eastAsia="等线" w:hAnsi="等线" w:cs="宋体" w:hint="eastAsia"/>
          <w:color w:val="000000"/>
          <w:kern w:val="0"/>
          <w:sz w:val="22"/>
        </w:rPr>
        <w:t>，花费</w:t>
      </w:r>
      <w:r>
        <w:rPr>
          <w:rFonts w:ascii="等线" w:eastAsia="等线" w:hAnsi="等线" w:cs="宋体" w:hint="eastAsia"/>
          <w:color w:val="000000"/>
          <w:kern w:val="0"/>
          <w:sz w:val="22"/>
        </w:rPr>
        <w:t>23.5</w:t>
      </w:r>
      <w:r>
        <w:rPr>
          <w:rFonts w:ascii="等线" w:eastAsia="等线" w:hAnsi="等线" w:cs="宋体" w:hint="eastAsia"/>
          <w:color w:val="000000"/>
          <w:kern w:val="0"/>
          <w:sz w:val="22"/>
        </w:rPr>
        <w:t>万元。</w:t>
      </w:r>
    </w:p>
    <w:p w14:paraId="34C46E91" w14:textId="74E7052A" w:rsidR="007406A4" w:rsidRDefault="00503B5A" w:rsidP="007849B8">
      <w:r>
        <w:t>6.25:</w:t>
      </w:r>
    </w:p>
    <w:p w14:paraId="5DBE23E0" w14:textId="33C37927" w:rsidR="00EB6ACD" w:rsidRPr="00EB6ACD" w:rsidRDefault="00EB6ACD" w:rsidP="00EB6ACD">
      <w:pPr>
        <w:widowControl/>
        <w:rPr>
          <w:rFonts w:ascii="等线" w:eastAsia="等线" w:hAnsi="等线" w:cs="宋体" w:hint="eastAsia"/>
          <w:color w:val="000000"/>
          <w:kern w:val="0"/>
          <w:sz w:val="22"/>
        </w:rPr>
      </w:pPr>
      <w:r>
        <w:rPr>
          <w:rFonts w:hint="eastAsia"/>
        </w:rPr>
        <w:t>空仓，此时收益为</w:t>
      </w:r>
      <w:r w:rsidRPr="00EB6ACD">
        <w:rPr>
          <w:rFonts w:ascii="等线" w:eastAsia="等线" w:hAnsi="等线" w:cs="宋体" w:hint="eastAsia"/>
          <w:color w:val="000000"/>
          <w:kern w:val="0"/>
          <w:sz w:val="22"/>
        </w:rPr>
        <w:t>105.2504875</w:t>
      </w:r>
      <w:r>
        <w:rPr>
          <w:rFonts w:ascii="等线" w:eastAsia="等线" w:hAnsi="等线" w:cs="宋体" w:hint="eastAsia"/>
          <w:color w:val="000000"/>
          <w:kern w:val="0"/>
          <w:sz w:val="22"/>
        </w:rPr>
        <w:t>万元。</w:t>
      </w:r>
    </w:p>
    <w:p w14:paraId="17422421" w14:textId="6D0B9DA3" w:rsidR="00503B5A" w:rsidRDefault="00503B5A" w:rsidP="007849B8">
      <w:r>
        <w:t>6.28:</w:t>
      </w:r>
    </w:p>
    <w:p w14:paraId="1A0995F8" w14:textId="5EC12CFA" w:rsidR="00EB6ACD" w:rsidRDefault="00EB6ACD" w:rsidP="00EB6ACD">
      <w:pPr>
        <w:widowControl/>
        <w:rPr>
          <w:rFonts w:ascii="等线" w:eastAsia="等线" w:hAnsi="等线" w:cs="宋体"/>
          <w:color w:val="000000"/>
          <w:kern w:val="0"/>
          <w:sz w:val="22"/>
        </w:rPr>
      </w:pPr>
      <w:r>
        <w:rPr>
          <w:rFonts w:hint="eastAsia"/>
        </w:rPr>
        <w:t>入仓</w:t>
      </w:r>
      <w:r w:rsidRPr="00EB6ACD">
        <w:rPr>
          <w:rFonts w:ascii="等线" w:eastAsia="等线" w:hAnsi="等线" w:cs="宋体" w:hint="eastAsia"/>
          <w:color w:val="000000"/>
          <w:kern w:val="0"/>
          <w:sz w:val="22"/>
        </w:rPr>
        <w:t>003035.SZ</w:t>
      </w:r>
      <w:r>
        <w:rPr>
          <w:rFonts w:ascii="等线" w:eastAsia="等线" w:hAnsi="等线" w:cs="宋体" w:hint="eastAsia"/>
          <w:color w:val="000000"/>
          <w:kern w:val="0"/>
          <w:sz w:val="22"/>
        </w:rPr>
        <w:t>，花费</w:t>
      </w:r>
      <w:r>
        <w:rPr>
          <w:rFonts w:ascii="等线" w:eastAsia="等线" w:hAnsi="等线" w:cs="宋体" w:hint="eastAsia"/>
          <w:color w:val="000000"/>
          <w:kern w:val="0"/>
          <w:sz w:val="22"/>
        </w:rPr>
        <w:t>60</w:t>
      </w:r>
      <w:r>
        <w:rPr>
          <w:rFonts w:ascii="等线" w:eastAsia="等线" w:hAnsi="等线" w:cs="宋体" w:hint="eastAsia"/>
          <w:color w:val="000000"/>
          <w:kern w:val="0"/>
          <w:sz w:val="22"/>
        </w:rPr>
        <w:t>万元。</w:t>
      </w:r>
    </w:p>
    <w:p w14:paraId="71AB7990" w14:textId="4B6381D8" w:rsidR="00EB6ACD" w:rsidRPr="00EB6ACD" w:rsidRDefault="00EB6ACD" w:rsidP="00EB6ACD">
      <w:pPr>
        <w:widowControl/>
        <w:rPr>
          <w:rFonts w:ascii="等线" w:eastAsia="等线" w:hAnsi="等线" w:cs="宋体" w:hint="eastAsia"/>
          <w:color w:val="000000"/>
          <w:kern w:val="0"/>
          <w:sz w:val="22"/>
        </w:rPr>
      </w:pPr>
      <w:r>
        <w:rPr>
          <w:rFonts w:ascii="等线" w:eastAsia="等线" w:hAnsi="等线" w:cs="宋体" w:hint="eastAsia"/>
          <w:color w:val="000000"/>
          <w:kern w:val="0"/>
          <w:sz w:val="22"/>
        </w:rPr>
        <w:t>入仓</w:t>
      </w:r>
      <w:r w:rsidRPr="00EB6ACD">
        <w:rPr>
          <w:rFonts w:ascii="等线" w:eastAsia="等线" w:hAnsi="等线" w:cs="宋体"/>
          <w:color w:val="000000"/>
          <w:kern w:val="0"/>
          <w:sz w:val="22"/>
        </w:rPr>
        <w:t>600710.SH</w:t>
      </w:r>
      <w:r>
        <w:rPr>
          <w:rFonts w:ascii="等线" w:eastAsia="等线" w:hAnsi="等线" w:cs="宋体" w:hint="eastAsia"/>
          <w:color w:val="000000"/>
          <w:kern w:val="0"/>
          <w:sz w:val="22"/>
        </w:rPr>
        <w:t>，花费</w:t>
      </w:r>
      <w:r>
        <w:rPr>
          <w:rFonts w:ascii="等线" w:eastAsia="等线" w:hAnsi="等线" w:cs="宋体" w:hint="eastAsia"/>
          <w:color w:val="000000"/>
          <w:kern w:val="0"/>
          <w:sz w:val="22"/>
        </w:rPr>
        <w:t>45.25</w:t>
      </w:r>
      <w:r>
        <w:rPr>
          <w:rFonts w:ascii="等线" w:eastAsia="等线" w:hAnsi="等线" w:cs="宋体" w:hint="eastAsia"/>
          <w:color w:val="000000"/>
          <w:kern w:val="0"/>
          <w:sz w:val="22"/>
        </w:rPr>
        <w:t>万元。</w:t>
      </w:r>
    </w:p>
    <w:p w14:paraId="7CFA1578" w14:textId="43790739" w:rsidR="00503B5A" w:rsidRDefault="00503B5A" w:rsidP="007849B8">
      <w:r>
        <w:t>6.30:</w:t>
      </w:r>
    </w:p>
    <w:p w14:paraId="1516E1B0" w14:textId="66654C23" w:rsidR="00EB6ACD" w:rsidRPr="00EB6ACD" w:rsidRDefault="00EB6ACD" w:rsidP="00EB6ACD">
      <w:pPr>
        <w:widowControl/>
        <w:rPr>
          <w:rFonts w:ascii="等线" w:eastAsia="等线" w:hAnsi="等线" w:cs="宋体" w:hint="eastAsia"/>
          <w:color w:val="000000"/>
          <w:kern w:val="0"/>
          <w:sz w:val="22"/>
        </w:rPr>
      </w:pPr>
      <w:r>
        <w:rPr>
          <w:rFonts w:hint="eastAsia"/>
        </w:rPr>
        <w:t>空仓，此时收益为</w:t>
      </w:r>
      <w:r w:rsidRPr="00EB6ACD">
        <w:rPr>
          <w:rFonts w:ascii="等线" w:eastAsia="等线" w:hAnsi="等线" w:cs="宋体" w:hint="eastAsia"/>
          <w:color w:val="000000"/>
          <w:kern w:val="0"/>
          <w:sz w:val="22"/>
        </w:rPr>
        <w:t>107.1913</w:t>
      </w:r>
      <w:r>
        <w:rPr>
          <w:rFonts w:ascii="等线" w:eastAsia="等线" w:hAnsi="等线" w:cs="宋体" w:hint="eastAsia"/>
          <w:color w:val="000000"/>
          <w:kern w:val="0"/>
          <w:sz w:val="22"/>
        </w:rPr>
        <w:t>万元。</w:t>
      </w:r>
      <w:bookmarkStart w:id="1" w:name="_GoBack"/>
      <w:bookmarkEnd w:id="1"/>
    </w:p>
    <w:p w14:paraId="6E4A5DD0" w14:textId="779D326E" w:rsidR="003E2CC4" w:rsidRDefault="003E2CC4" w:rsidP="007849B8">
      <w:r>
        <w:rPr>
          <w:rFonts w:hint="eastAsia"/>
        </w:rPr>
        <w:t>5.5问题五</w:t>
      </w:r>
    </w:p>
    <w:p w14:paraId="6673A319" w14:textId="77777777" w:rsidR="0016055B" w:rsidRDefault="0016055B" w:rsidP="0016055B">
      <w:r>
        <w:t>.请给相关部门写一份不少于 1500 字关于我国光伏建筑一体化行业未来发展趋势的报告。</w:t>
      </w:r>
    </w:p>
    <w:p w14:paraId="7D44D922" w14:textId="77777777" w:rsidR="0016055B" w:rsidRDefault="0016055B" w:rsidP="0016055B"/>
    <w:p w14:paraId="554AF280" w14:textId="77777777" w:rsidR="0016055B" w:rsidRDefault="0016055B" w:rsidP="0016055B">
      <w:pPr>
        <w:rPr>
          <w:rFonts w:ascii="宋体" w:eastAsia="宋体" w:hAnsi="宋体"/>
        </w:rPr>
      </w:pPr>
      <w:r w:rsidRPr="00B93BDA">
        <w:rPr>
          <w:rFonts w:ascii="宋体" w:eastAsia="宋体" w:hAnsi="宋体"/>
        </w:rPr>
        <w:t xml:space="preserve">光伏建筑一体化 (Building Integrated Photovoltaic，BIPV) </w:t>
      </w:r>
      <w:r>
        <w:rPr>
          <w:rFonts w:ascii="宋体" w:eastAsia="宋体" w:hAnsi="宋体" w:hint="eastAsia"/>
        </w:rPr>
        <w:t>是</w:t>
      </w:r>
      <w:r w:rsidRPr="00B93BDA">
        <w:rPr>
          <w:rFonts w:ascii="宋体" w:eastAsia="宋体" w:hAnsi="宋体"/>
        </w:rPr>
        <w:t>光伏行业</w:t>
      </w:r>
      <w:r>
        <w:rPr>
          <w:rFonts w:ascii="宋体" w:eastAsia="宋体" w:hAnsi="宋体" w:hint="eastAsia"/>
        </w:rPr>
        <w:t>，绿色产业</w:t>
      </w:r>
      <w:r w:rsidRPr="00B93BDA">
        <w:rPr>
          <w:rFonts w:ascii="宋体" w:eastAsia="宋体" w:hAnsi="宋体"/>
        </w:rPr>
        <w:t>的重要方向，对绿色能源占比</w:t>
      </w:r>
      <w:r>
        <w:rPr>
          <w:rFonts w:ascii="宋体" w:eastAsia="宋体" w:hAnsi="宋体" w:hint="eastAsia"/>
        </w:rPr>
        <w:t>的提高</w:t>
      </w:r>
      <w:r w:rsidRPr="00B93BDA">
        <w:rPr>
          <w:rFonts w:ascii="宋体" w:eastAsia="宋体" w:hAnsi="宋体"/>
        </w:rPr>
        <w:t>、建筑节能降耗具有</w:t>
      </w:r>
      <w:r>
        <w:rPr>
          <w:rFonts w:ascii="宋体" w:eastAsia="宋体" w:hAnsi="宋体" w:hint="eastAsia"/>
        </w:rPr>
        <w:t>显著</w:t>
      </w:r>
      <w:r w:rsidRPr="00B93BDA">
        <w:rPr>
          <w:rFonts w:ascii="宋体" w:eastAsia="宋体" w:hAnsi="宋体"/>
        </w:rPr>
        <w:t>意义。作为全球光伏制造大国，光伏产业已成为我国可参与国际竞争的优势产业之一。与此同时，我国光伏发电应用市场逐步扩大</w:t>
      </w:r>
      <w:r>
        <w:rPr>
          <w:rFonts w:ascii="宋体" w:eastAsia="宋体" w:hAnsi="宋体" w:hint="eastAsia"/>
        </w:rPr>
        <w:t>。光伏建筑一体化的步伐也逐步加进。本次报告基于3</w:t>
      </w:r>
      <w:r>
        <w:rPr>
          <w:rFonts w:ascii="宋体" w:eastAsia="宋体" w:hAnsi="宋体"/>
        </w:rPr>
        <w:t>7</w:t>
      </w:r>
      <w:r>
        <w:rPr>
          <w:rFonts w:ascii="宋体" w:eastAsia="宋体" w:hAnsi="宋体" w:hint="eastAsia"/>
        </w:rPr>
        <w:t>家光伏企业的股票数据及光伏板块指数分析与预测，综合光伏建筑方面网络文献，得出我国光伏建筑一体化行业发展趋势报告如下：</w:t>
      </w:r>
    </w:p>
    <w:p w14:paraId="3745E9CC" w14:textId="77777777" w:rsidR="0016055B" w:rsidRDefault="0016055B" w:rsidP="0016055B">
      <w:pPr>
        <w:rPr>
          <w:rFonts w:ascii="宋体" w:eastAsia="宋体" w:hAnsi="宋体"/>
        </w:rPr>
      </w:pPr>
      <w:r>
        <w:rPr>
          <w:rFonts w:ascii="宋体" w:eastAsia="宋体" w:hAnsi="宋体" w:hint="eastAsia"/>
        </w:rPr>
        <w:t>一、行业发展总趋势</w:t>
      </w:r>
    </w:p>
    <w:p w14:paraId="10271406" w14:textId="77777777" w:rsidR="0016055B" w:rsidRDefault="0016055B" w:rsidP="0016055B">
      <w:pPr>
        <w:rPr>
          <w:rFonts w:ascii="宋体" w:eastAsia="宋体" w:hAnsi="宋体"/>
        </w:rPr>
      </w:pPr>
      <w:r>
        <w:rPr>
          <w:rFonts w:ascii="宋体" w:eastAsia="宋体" w:hAnsi="宋体" w:hint="eastAsia"/>
        </w:rPr>
        <w:t>1、光伏建筑一体化板块总体向阳</w:t>
      </w:r>
    </w:p>
    <w:p w14:paraId="4637E6A6" w14:textId="77777777" w:rsidR="0016055B" w:rsidRDefault="0016055B" w:rsidP="0016055B">
      <w:pPr>
        <w:rPr>
          <w:rFonts w:ascii="宋体" w:eastAsia="宋体" w:hAnsi="宋体"/>
        </w:rPr>
      </w:pPr>
      <w:r>
        <w:rPr>
          <w:rFonts w:ascii="宋体" w:eastAsia="宋体" w:hAnsi="宋体" w:hint="eastAsia"/>
        </w:rPr>
        <w:t>通过行业股市变化，可以分析其发展态势。将3</w:t>
      </w:r>
      <w:r>
        <w:rPr>
          <w:rFonts w:ascii="宋体" w:eastAsia="宋体" w:hAnsi="宋体"/>
        </w:rPr>
        <w:t>7</w:t>
      </w:r>
      <w:r>
        <w:rPr>
          <w:rFonts w:ascii="宋体" w:eastAsia="宋体" w:hAnsi="宋体" w:hint="eastAsia"/>
        </w:rPr>
        <w:t>家股票综合成光伏建筑板块，通过板块指数移动平均线可知，光伏建筑近年来发展总体趋势高昂，前途光明。</w:t>
      </w:r>
    </w:p>
    <w:p w14:paraId="6998382F" w14:textId="77777777" w:rsidR="0016055B" w:rsidRDefault="0016055B" w:rsidP="0016055B">
      <w:pPr>
        <w:rPr>
          <w:rFonts w:ascii="宋体" w:eastAsia="宋体" w:hAnsi="宋体"/>
        </w:rPr>
      </w:pPr>
      <w:r>
        <w:rPr>
          <w:rFonts w:ascii="宋体" w:eastAsia="宋体" w:hAnsi="宋体" w:hint="eastAsia"/>
        </w:rPr>
        <w:t>2、光伏建筑一体化与社会经济的发展密切相关</w:t>
      </w:r>
    </w:p>
    <w:p w14:paraId="0FB040AA" w14:textId="77777777" w:rsidR="0016055B" w:rsidRPr="00F26C9B" w:rsidRDefault="0016055B" w:rsidP="0016055B">
      <w:pPr>
        <w:rPr>
          <w:rFonts w:ascii="宋体" w:eastAsia="宋体" w:hAnsi="宋体"/>
        </w:rPr>
      </w:pPr>
      <w:r>
        <w:rPr>
          <w:rFonts w:ascii="宋体" w:eastAsia="宋体" w:hAnsi="宋体" w:hint="eastAsia"/>
        </w:rPr>
        <w:t>股市的资金流动与上市企业数目一定程度上可以衡量社会发展，尤其是经济发展的水平。以上证指数作为衡量股市繁荣程度的特征值，可以看到，近年来我国股市基本呈增长态势，偶尔受到波动。而通过相关性系数对上证指数和光伏建筑一体化板块指数进行分析可知，二者关系较为密切。上述分析不但说明光伏建筑一体化的繁荣是社会经济迅速发展的产物，更印证光伏建筑行业的发展具有带动经济发展的作用。</w:t>
      </w:r>
    </w:p>
    <w:p w14:paraId="77AD6836" w14:textId="77777777" w:rsidR="0016055B" w:rsidRDefault="0016055B" w:rsidP="0016055B">
      <w:pPr>
        <w:rPr>
          <w:rFonts w:ascii="宋体" w:eastAsia="宋体" w:hAnsi="宋体"/>
        </w:rPr>
      </w:pPr>
      <w:r>
        <w:rPr>
          <w:rFonts w:ascii="宋体" w:eastAsia="宋体" w:hAnsi="宋体" w:hint="eastAsia"/>
        </w:rPr>
        <w:t>3、部分行业发展存在风险</w:t>
      </w:r>
    </w:p>
    <w:p w14:paraId="5283D122" w14:textId="77777777" w:rsidR="0016055B" w:rsidRDefault="0016055B" w:rsidP="0016055B">
      <w:pPr>
        <w:rPr>
          <w:rFonts w:ascii="宋体" w:eastAsia="宋体" w:hAnsi="宋体"/>
        </w:rPr>
      </w:pPr>
      <w:r>
        <w:rPr>
          <w:rFonts w:ascii="宋体" w:eastAsia="宋体" w:hAnsi="宋体" w:hint="eastAsia"/>
        </w:rPr>
        <w:t>当上证指数波动平稳时，3</w:t>
      </w:r>
      <w:r>
        <w:rPr>
          <w:rFonts w:ascii="宋体" w:eastAsia="宋体" w:hAnsi="宋体"/>
        </w:rPr>
        <w:t>7</w:t>
      </w:r>
      <w:r>
        <w:rPr>
          <w:rFonts w:ascii="宋体" w:eastAsia="宋体" w:hAnsi="宋体" w:hint="eastAsia"/>
        </w:rPr>
        <w:t>家企业中部分股票出现剧烈浮动。由此可见，光伏建筑的发展并非一帆风顺，而是有起有落，虽然符合经济发展的一般态势，但是也一定程度证明了光伏建筑行业发展的并不完全成熟、完善。</w:t>
      </w:r>
    </w:p>
    <w:p w14:paraId="25FAE663" w14:textId="77777777" w:rsidR="0016055B" w:rsidRDefault="0016055B" w:rsidP="0016055B">
      <w:pPr>
        <w:rPr>
          <w:rFonts w:ascii="宋体" w:eastAsia="宋体" w:hAnsi="宋体"/>
        </w:rPr>
      </w:pPr>
    </w:p>
    <w:p w14:paraId="2565200F" w14:textId="77777777" w:rsidR="0016055B" w:rsidRPr="00A14732" w:rsidRDefault="0016055B" w:rsidP="0016055B">
      <w:pPr>
        <w:rPr>
          <w:rFonts w:ascii="宋体" w:eastAsia="宋体" w:hAnsi="宋体"/>
        </w:rPr>
      </w:pPr>
      <w:r>
        <w:rPr>
          <w:rFonts w:ascii="宋体" w:eastAsia="宋体" w:hAnsi="宋体" w:hint="eastAsia"/>
        </w:rPr>
        <w:t>总的来说，近年来随着环保意识的崛起，光伏建筑一体化的大力发展，不仅得益于经济的增长，更借力国家政策的大力支持。可以说，光伏建筑一体化行业的未来一定是非常光明的。</w:t>
      </w:r>
    </w:p>
    <w:p w14:paraId="338BACDA" w14:textId="77777777" w:rsidR="0016055B" w:rsidRDefault="0016055B" w:rsidP="0016055B">
      <w:pPr>
        <w:rPr>
          <w:rFonts w:ascii="宋体" w:eastAsia="宋体" w:hAnsi="宋体"/>
        </w:rPr>
      </w:pPr>
      <w:r>
        <w:rPr>
          <w:rFonts w:ascii="宋体" w:eastAsia="宋体" w:hAnsi="宋体" w:hint="eastAsia"/>
        </w:rPr>
        <w:t>二、行业发展分趋势</w:t>
      </w:r>
    </w:p>
    <w:p w14:paraId="1072F307" w14:textId="77777777" w:rsidR="0016055B" w:rsidRDefault="0016055B" w:rsidP="0016055B">
      <w:pPr>
        <w:rPr>
          <w:rFonts w:ascii="宋体" w:eastAsia="宋体" w:hAnsi="宋体"/>
        </w:rPr>
      </w:pPr>
      <w:r>
        <w:rPr>
          <w:rFonts w:ascii="宋体" w:eastAsia="宋体" w:hAnsi="宋体" w:hint="eastAsia"/>
        </w:rPr>
        <w:t>1、领域发展分析</w:t>
      </w:r>
    </w:p>
    <w:p w14:paraId="24E20021" w14:textId="77777777" w:rsidR="0016055B" w:rsidRDefault="0016055B" w:rsidP="0016055B">
      <w:pPr>
        <w:rPr>
          <w:rFonts w:ascii="宋体" w:eastAsia="宋体" w:hAnsi="宋体"/>
        </w:rPr>
      </w:pPr>
      <w:r>
        <w:rPr>
          <w:rFonts w:ascii="宋体" w:eastAsia="宋体" w:hAnsi="宋体" w:hint="eastAsia"/>
        </w:rPr>
        <w:t>选取3</w:t>
      </w:r>
      <w:r>
        <w:rPr>
          <w:rFonts w:ascii="宋体" w:eastAsia="宋体" w:hAnsi="宋体"/>
        </w:rPr>
        <w:t>7</w:t>
      </w:r>
      <w:r>
        <w:rPr>
          <w:rFonts w:ascii="宋体" w:eastAsia="宋体" w:hAnsi="宋体" w:hint="eastAsia"/>
        </w:rPr>
        <w:t>家光伏建筑方向典型企业，对其经营范围进行分类及比例计算，如下图</w:t>
      </w:r>
    </w:p>
    <w:p w14:paraId="0D2BA864" w14:textId="77777777" w:rsidR="0016055B" w:rsidRDefault="0016055B" w:rsidP="0016055B">
      <w:pPr>
        <w:jc w:val="center"/>
        <w:rPr>
          <w:rFonts w:ascii="宋体" w:eastAsia="宋体" w:hAnsi="宋体"/>
        </w:rPr>
      </w:pPr>
      <w:r>
        <w:rPr>
          <w:noProof/>
        </w:rPr>
        <w:lastRenderedPageBreak/>
        <mc:AlternateContent>
          <mc:Choic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Requires="cx1">
            <w:drawing>
              <wp:inline distT="0" distB="0" distL="0" distR="0" wp14:anchorId="5BB6EBB3" wp14:editId="137D26D8">
                <wp:extent cx="4157663" cy="2252663"/>
                <wp:effectExtent l="0" t="0" r="14605" b="14605"/>
                <wp:docPr id="7" name="图表 7">
                  <a:extLst xmlns:a="http://schemas.openxmlformats.org/drawingml/2006/main">
                    <a:ext uri="{FF2B5EF4-FFF2-40B4-BE49-F238E27FC236}">
                      <a16:creationId xmlns:a16="http://schemas.microsoft.com/office/drawing/2014/main" id="{509B21F9-27B6-4D15-A80B-471842D89D9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7"/>
                  </a:graphicData>
                </a:graphic>
              </wp:inline>
            </w:drawing>
          </mc:Choice>
          <mc:Fallback>
            <w:drawing>
              <wp:inline distT="0" distB="0" distL="0" distR="0" wp14:anchorId="5BB6EBB3" wp14:editId="137D26D8">
                <wp:extent cx="4157663" cy="2252663"/>
                <wp:effectExtent l="0" t="0" r="14605" b="14605"/>
                <wp:docPr id="7" name="图表 7">
                  <a:extLst xmlns:a="http://schemas.openxmlformats.org/drawingml/2006/main">
                    <a:ext uri="{FF2B5EF4-FFF2-40B4-BE49-F238E27FC236}">
                      <a16:creationId xmlns:a16="http://schemas.microsoft.com/office/drawing/2014/main" id="{509B21F9-27B6-4D15-A80B-471842D89D9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图表 7">
                          <a:extLst>
                            <a:ext uri="{FF2B5EF4-FFF2-40B4-BE49-F238E27FC236}">
                              <a16:creationId xmlns:a16="http://schemas.microsoft.com/office/drawing/2014/main" id="{509B21F9-27B6-4D15-A80B-471842D89D9F}"/>
                            </a:ext>
                          </a:extLst>
                        </pic:cNvPr>
                        <pic:cNvPicPr>
                          <a:picLocks noGrp="1" noRot="1" noChangeAspect="1" noMove="1" noResize="1" noEditPoints="1" noAdjustHandles="1" noChangeArrowheads="1" noChangeShapeType="1"/>
                        </pic:cNvPicPr>
                      </pic:nvPicPr>
                      <pic:blipFill>
                        <a:blip r:embed="rId58"/>
                        <a:stretch>
                          <a:fillRect/>
                        </a:stretch>
                      </pic:blipFill>
                      <pic:spPr>
                        <a:xfrm>
                          <a:off x="0" y="0"/>
                          <a:ext cx="4157345" cy="2252345"/>
                        </a:xfrm>
                        <a:prstGeom prst="rect">
                          <a:avLst/>
                        </a:prstGeom>
                      </pic:spPr>
                    </pic:pic>
                  </a:graphicData>
                </a:graphic>
              </wp:inline>
            </w:drawing>
          </mc:Fallback>
        </mc:AlternateContent>
      </w:r>
    </w:p>
    <w:p w14:paraId="5EE7B2DB" w14:textId="77777777" w:rsidR="0016055B" w:rsidRDefault="0016055B" w:rsidP="0016055B">
      <w:pPr>
        <w:rPr>
          <w:rFonts w:ascii="宋体" w:eastAsia="宋体" w:hAnsi="宋体"/>
        </w:rPr>
      </w:pPr>
      <w:r>
        <w:rPr>
          <w:rFonts w:ascii="宋体" w:eastAsia="宋体" w:hAnsi="宋体" w:hint="eastAsia"/>
        </w:rPr>
        <w:t>通过上述分析，我们可以得到如下结论：</w:t>
      </w:r>
    </w:p>
    <w:p w14:paraId="79C5740A" w14:textId="77777777" w:rsidR="0016055B" w:rsidRDefault="0016055B" w:rsidP="0016055B">
      <w:pPr>
        <w:rPr>
          <w:rFonts w:ascii="宋体" w:eastAsia="宋体" w:hAnsi="宋体"/>
        </w:rPr>
      </w:pPr>
      <w:r>
        <w:rPr>
          <w:rFonts w:ascii="宋体" w:eastAsia="宋体" w:hAnsi="宋体"/>
        </w:rPr>
        <w:t>(1)</w:t>
      </w:r>
      <w:r>
        <w:rPr>
          <w:rFonts w:ascii="宋体" w:eastAsia="宋体" w:hAnsi="宋体" w:hint="eastAsia"/>
        </w:rPr>
        <w:t>、目前光伏建筑的各方面都有企业涉猎；关于地域分布，大多数企业分布在南方地区，仅有八家分布在北方的青岛、北京、西安等地，其余均在珠三角及江浙沪等发达地区。</w:t>
      </w:r>
    </w:p>
    <w:p w14:paraId="2701A6D6" w14:textId="77777777" w:rsidR="0016055B" w:rsidRDefault="0016055B" w:rsidP="0016055B">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、以股市涨幅作为发展水平判据，根据近年及预测各股票股价变动，可知软件、电子元器件等新兴行业涨幅较大，而诸如结构钢、土建一类的企业股价涨幅并不大。</w:t>
      </w:r>
    </w:p>
    <w:p w14:paraId="056A1552" w14:textId="77777777" w:rsidR="0016055B" w:rsidRDefault="0016055B" w:rsidP="0016055B">
      <w:pPr>
        <w:rPr>
          <w:rFonts w:ascii="宋体" w:eastAsia="宋体" w:hAnsi="宋体"/>
        </w:rPr>
      </w:pPr>
    </w:p>
    <w:p w14:paraId="51C09965" w14:textId="77777777" w:rsidR="0016055B" w:rsidRDefault="0016055B" w:rsidP="0016055B">
      <w:pPr>
        <w:rPr>
          <w:rFonts w:ascii="宋体" w:eastAsia="宋体" w:hAnsi="宋体"/>
        </w:rPr>
      </w:pPr>
      <w:r>
        <w:rPr>
          <w:rFonts w:ascii="宋体" w:eastAsia="宋体" w:hAnsi="宋体" w:hint="eastAsia"/>
        </w:rPr>
        <w:t>2、发展中的不足</w:t>
      </w:r>
    </w:p>
    <w:p w14:paraId="64C990C7" w14:textId="77777777" w:rsidR="0016055B" w:rsidRDefault="0016055B" w:rsidP="0016055B">
      <w:pPr>
        <w:rPr>
          <w:rFonts w:ascii="宋体" w:eastAsia="宋体" w:hAnsi="宋体"/>
        </w:rPr>
      </w:pPr>
      <w:r>
        <w:rPr>
          <w:rFonts w:ascii="宋体" w:eastAsia="宋体" w:hAnsi="宋体" w:hint="eastAsia"/>
        </w:rPr>
        <w:t>通过光伏建筑各大企业的分布及不难看出如下问题：</w:t>
      </w:r>
    </w:p>
    <w:p w14:paraId="23C42160" w14:textId="77777777" w:rsidR="0016055B" w:rsidRDefault="0016055B" w:rsidP="0016055B">
      <w:pPr>
        <w:rPr>
          <w:rFonts w:ascii="宋体" w:eastAsia="宋体" w:hAnsi="宋体"/>
        </w:rPr>
      </w:pPr>
      <w:r>
        <w:rPr>
          <w:rFonts w:ascii="宋体" w:eastAsia="宋体" w:hAnsi="宋体" w:hint="eastAsia"/>
        </w:rPr>
        <w:t>首先，我国光伏产业链条不够完整，各大企业仍处于刚刚从传统建筑业转型的适应环节。其次，我国光伏企业结构仍旧过于传统、过时。在3</w:t>
      </w:r>
      <w:r>
        <w:rPr>
          <w:rFonts w:ascii="宋体" w:eastAsia="宋体" w:hAnsi="宋体"/>
        </w:rPr>
        <w:t>7</w:t>
      </w:r>
      <w:r>
        <w:rPr>
          <w:rFonts w:ascii="宋体" w:eastAsia="宋体" w:hAnsi="宋体" w:hint="eastAsia"/>
        </w:rPr>
        <w:t>家样本中，传统建筑结构行业占比将近一半，而有关建筑设计、软件开发的企业仅1</w:t>
      </w:r>
      <w:r>
        <w:rPr>
          <w:rFonts w:ascii="宋体" w:eastAsia="宋体" w:hAnsi="宋体"/>
        </w:rPr>
        <w:t>6</w:t>
      </w:r>
      <w:r>
        <w:rPr>
          <w:rFonts w:ascii="宋体" w:eastAsia="宋体" w:hAnsi="宋体" w:hint="eastAsia"/>
        </w:rPr>
        <w:t>％，产业结构需要得到调整。最后，地域的不均衡，推广范围小是阻挠行业前进的绊脚石。</w:t>
      </w:r>
    </w:p>
    <w:p w14:paraId="364115C0" w14:textId="77777777" w:rsidR="0016055B" w:rsidRDefault="0016055B" w:rsidP="0016055B">
      <w:pPr>
        <w:rPr>
          <w:rFonts w:ascii="宋体" w:eastAsia="宋体" w:hAnsi="宋体"/>
        </w:rPr>
      </w:pPr>
    </w:p>
    <w:p w14:paraId="79EC313A" w14:textId="77777777" w:rsidR="0016055B" w:rsidRDefault="0016055B" w:rsidP="0016055B">
      <w:pPr>
        <w:rPr>
          <w:rFonts w:ascii="宋体" w:eastAsia="宋体" w:hAnsi="宋体"/>
        </w:rPr>
      </w:pPr>
      <w:r>
        <w:rPr>
          <w:rFonts w:ascii="宋体" w:eastAsia="宋体" w:hAnsi="宋体" w:hint="eastAsia"/>
        </w:rPr>
        <w:t>三、行业发展趋势预测</w:t>
      </w:r>
    </w:p>
    <w:p w14:paraId="75296D09" w14:textId="77777777" w:rsidR="0016055B" w:rsidRDefault="0016055B" w:rsidP="0016055B">
      <w:pPr>
        <w:rPr>
          <w:rFonts w:ascii="宋体" w:eastAsia="宋体" w:hAnsi="宋体"/>
        </w:rPr>
      </w:pPr>
      <w:r>
        <w:rPr>
          <w:rFonts w:ascii="宋体" w:eastAsia="宋体" w:hAnsi="宋体" w:hint="eastAsia"/>
        </w:rPr>
        <w:t>总的来说，借着国家政策的推力，符合环保号召的光伏建筑在二十一世纪必将迎来大幅度的提升与发展，具体表现如下：</w:t>
      </w:r>
    </w:p>
    <w:p w14:paraId="5148F2EC" w14:textId="77777777" w:rsidR="0016055B" w:rsidRDefault="0016055B" w:rsidP="0016055B">
      <w:pPr>
        <w:rPr>
          <w:rFonts w:ascii="宋体" w:eastAsia="宋体" w:hAnsi="宋体"/>
        </w:rPr>
      </w:pPr>
      <w:r>
        <w:rPr>
          <w:rFonts w:ascii="宋体" w:eastAsia="宋体" w:hAnsi="宋体"/>
        </w:rPr>
        <w:t>1</w:t>
      </w:r>
      <w:r>
        <w:rPr>
          <w:rFonts w:ascii="宋体" w:eastAsia="宋体" w:hAnsi="宋体" w:hint="eastAsia"/>
        </w:rPr>
        <w:t>、完整化</w:t>
      </w:r>
    </w:p>
    <w:p w14:paraId="769C1CED" w14:textId="77777777" w:rsidR="0016055B" w:rsidRPr="00B93BDA" w:rsidRDefault="0016055B" w:rsidP="0016055B">
      <w:pPr>
        <w:rPr>
          <w:rFonts w:ascii="宋体" w:eastAsia="宋体" w:hAnsi="宋体"/>
        </w:rPr>
      </w:pPr>
      <w:r>
        <w:rPr>
          <w:rFonts w:ascii="宋体" w:eastAsia="宋体" w:hAnsi="宋体" w:hint="eastAsia"/>
        </w:rPr>
        <w:t>针对光伏建筑产业链不完整的问题，我国近年来也在不断进行改进。目前，国内最大的敦煌光伏电站正在加紧建设，内蒙古鄂尔多斯光伏电站预计2</w:t>
      </w:r>
      <w:r>
        <w:rPr>
          <w:rFonts w:ascii="宋体" w:eastAsia="宋体" w:hAnsi="宋体"/>
        </w:rPr>
        <w:t>019</w:t>
      </w:r>
      <w:r>
        <w:rPr>
          <w:rFonts w:ascii="宋体" w:eastAsia="宋体" w:hAnsi="宋体" w:hint="eastAsia"/>
        </w:rPr>
        <w:t>年建成；不少项目已经采用了光伏玻璃幕和光伏玻璃采光顶【1】；此外，越来越多的互联网与建筑设计公司开始将目光投入光伏建筑上来。不久的将来，光伏建筑的产业结构会得到进一步完善，建筑的绿色环保也会得到更大程度的实现。</w:t>
      </w:r>
    </w:p>
    <w:p w14:paraId="5E0E9E17" w14:textId="77777777" w:rsidR="0016055B" w:rsidRDefault="0016055B" w:rsidP="0016055B">
      <w:pPr>
        <w:rPr>
          <w:rFonts w:ascii="宋体" w:eastAsia="宋体" w:hAnsi="宋体"/>
        </w:rPr>
      </w:pPr>
      <w:r>
        <w:rPr>
          <w:rFonts w:ascii="宋体" w:eastAsia="宋体" w:hAnsi="宋体" w:hint="eastAsia"/>
        </w:rPr>
        <w:t>2、普及化</w:t>
      </w:r>
    </w:p>
    <w:p w14:paraId="71D3CB11" w14:textId="77777777" w:rsidR="0016055B" w:rsidRPr="00AB5336" w:rsidRDefault="0016055B" w:rsidP="0016055B">
      <w:pPr>
        <w:rPr>
          <w:rFonts w:ascii="宋体" w:eastAsia="宋体" w:hAnsi="宋体"/>
        </w:rPr>
      </w:pPr>
      <w:r>
        <w:rPr>
          <w:rFonts w:ascii="宋体" w:eastAsia="宋体" w:hAnsi="宋体" w:hint="eastAsia"/>
        </w:rPr>
        <w:t>如今，光伏建筑企业仅仅在东南沿海发达地区有建设，试行点更是仅在北京、上海、深圳有过初步建立与应用。而在未来，为了减少碳排放，实现绿色环保与可持续发展，光伏建筑必将落实到各种建筑上，不过如今，我国光伏技术仍处于发展阶段，要想实现大规模安全可靠的应用可能还需要较长时间。</w:t>
      </w:r>
    </w:p>
    <w:p w14:paraId="65224EE6" w14:textId="77777777" w:rsidR="0016055B" w:rsidRDefault="0016055B" w:rsidP="0016055B">
      <w:pPr>
        <w:rPr>
          <w:rFonts w:ascii="宋体" w:eastAsia="宋体" w:hAnsi="宋体"/>
        </w:rPr>
      </w:pPr>
      <w:r>
        <w:rPr>
          <w:rFonts w:ascii="宋体" w:eastAsia="宋体" w:hAnsi="宋体"/>
        </w:rPr>
        <w:t>3</w:t>
      </w:r>
      <w:r>
        <w:rPr>
          <w:rFonts w:ascii="宋体" w:eastAsia="宋体" w:hAnsi="宋体" w:hint="eastAsia"/>
        </w:rPr>
        <w:t>、智能化</w:t>
      </w:r>
    </w:p>
    <w:p w14:paraId="7039B3FB" w14:textId="77777777" w:rsidR="0016055B" w:rsidRDefault="0016055B" w:rsidP="0016055B">
      <w:pPr>
        <w:rPr>
          <w:rFonts w:ascii="宋体" w:eastAsia="宋体" w:hAnsi="宋体"/>
        </w:rPr>
      </w:pPr>
      <w:r>
        <w:rPr>
          <w:rFonts w:ascii="宋体" w:eastAsia="宋体" w:hAnsi="宋体" w:hint="eastAsia"/>
        </w:rPr>
        <w:t>随着互联网时代的到来，各行各业势必与网络扯上联系，光伏建筑一体化乘着时代的东风，产业结构在不远的将来也一定会得到大幅度的调整。传统以机械、建筑为主的行业架构必然会被打破，软件、物联网的开发与使用必将深入到光伏建筑行业。</w:t>
      </w:r>
    </w:p>
    <w:p w14:paraId="70BA89A2" w14:textId="77777777" w:rsidR="0016055B" w:rsidRDefault="0016055B" w:rsidP="0016055B">
      <w:pPr>
        <w:rPr>
          <w:rFonts w:ascii="宋体" w:eastAsia="宋体" w:hAnsi="宋体"/>
        </w:rPr>
      </w:pPr>
      <w:r>
        <w:rPr>
          <w:rFonts w:ascii="宋体" w:eastAsia="宋体" w:hAnsi="宋体"/>
        </w:rPr>
        <w:t>4</w:t>
      </w:r>
      <w:r>
        <w:rPr>
          <w:rFonts w:ascii="宋体" w:eastAsia="宋体" w:hAnsi="宋体" w:hint="eastAsia"/>
        </w:rPr>
        <w:t>、经济效益</w:t>
      </w:r>
    </w:p>
    <w:p w14:paraId="3F3F09F5" w14:textId="77777777" w:rsidR="0016055B" w:rsidRPr="00B93BDA" w:rsidRDefault="0016055B" w:rsidP="0016055B">
      <w:pPr>
        <w:rPr>
          <w:rFonts w:ascii="宋体" w:eastAsia="宋体" w:hAnsi="宋体"/>
        </w:rPr>
      </w:pPr>
      <w:r>
        <w:rPr>
          <w:rFonts w:ascii="宋体" w:eastAsia="宋体" w:hAnsi="宋体" w:hint="eastAsia"/>
        </w:rPr>
        <w:lastRenderedPageBreak/>
        <w:t>行业的进步不仅带动行业内科技、就业等方面的发展，更将带动社会经济的提升。当光伏建筑的普及度较高时，我国能源利用率也将大幅提高，极大的提高了建筑经济性。未来，光伏建筑企业数量、质量都会得到稳步提升。</w:t>
      </w:r>
    </w:p>
    <w:p w14:paraId="706DCA74" w14:textId="77777777" w:rsidR="0016055B" w:rsidRDefault="0016055B" w:rsidP="0016055B">
      <w:pPr>
        <w:rPr>
          <w:rFonts w:ascii="宋体" w:eastAsia="宋体" w:hAnsi="宋体"/>
        </w:rPr>
      </w:pPr>
    </w:p>
    <w:p w14:paraId="3EFCA4CC" w14:textId="77777777" w:rsidR="0016055B" w:rsidRDefault="0016055B" w:rsidP="0016055B">
      <w:pPr>
        <w:rPr>
          <w:rFonts w:ascii="宋体" w:eastAsia="宋体" w:hAnsi="宋体"/>
        </w:rPr>
      </w:pPr>
    </w:p>
    <w:p w14:paraId="7D4B0C3C" w14:textId="77777777" w:rsidR="0016055B" w:rsidRDefault="0016055B" w:rsidP="0016055B">
      <w:pPr>
        <w:rPr>
          <w:rFonts w:ascii="宋体" w:eastAsia="宋体" w:hAnsi="宋体"/>
        </w:rPr>
      </w:pPr>
      <w:r>
        <w:rPr>
          <w:rFonts w:ascii="宋体" w:eastAsia="宋体" w:hAnsi="宋体" w:hint="eastAsia"/>
        </w:rPr>
        <w:t>目前，我国光伏建筑一体化态势良好。</w:t>
      </w:r>
      <w:r w:rsidRPr="00B93BDA">
        <w:rPr>
          <w:rFonts w:ascii="宋体" w:eastAsia="宋体" w:hAnsi="宋体"/>
        </w:rPr>
        <w:t>据国家住宅与工程技术研究中心推算的数据，2020 年我国建筑总面积将达到 700 亿 m2 ，其中可利用的南墙和屋面面积为 300 亿m2 ，按照可用面积的 20% 用于安装光伏系统计算，届时可安装光伏的建筑面积约为 60 亿 m2 。根据每20m2安装1kW光伏系统进行计算，2020年建筑光伏最大装机容量可高达 3 亿kW。按中东部地区年平均利用小时数为 1200 h，则 2020 年建 筑光伏发电量约为 3600 亿 kWh，约相当于 4.5 个三峡电站的全年 发电量 ( 按三峡电站 2013 年全年发电量 828.27 亿度计算 )</w:t>
      </w:r>
      <w:r>
        <w:rPr>
          <w:rFonts w:ascii="宋体" w:eastAsia="宋体" w:hAnsi="宋体"/>
        </w:rPr>
        <w:t>[2]</w:t>
      </w:r>
      <w:r w:rsidRPr="00B93BDA">
        <w:rPr>
          <w:rFonts w:ascii="宋体" w:eastAsia="宋体" w:hAnsi="宋体"/>
        </w:rPr>
        <w:t>。</w:t>
      </w:r>
      <w:r>
        <w:rPr>
          <w:rFonts w:ascii="宋体" w:eastAsia="宋体" w:hAnsi="宋体" w:hint="eastAsia"/>
        </w:rPr>
        <w:t>得益于国家政策与经济发展的双重助力，光伏建筑拥有广阔的市场与前景。</w:t>
      </w:r>
    </w:p>
    <w:p w14:paraId="432149BD" w14:textId="77777777" w:rsidR="0016055B" w:rsidRPr="00B93BDA" w:rsidRDefault="0016055B" w:rsidP="0016055B">
      <w:pPr>
        <w:rPr>
          <w:rFonts w:ascii="宋体" w:eastAsia="宋体" w:hAnsi="宋体"/>
        </w:rPr>
      </w:pPr>
      <w:r w:rsidRPr="00B93BDA">
        <w:rPr>
          <w:rFonts w:ascii="宋体" w:eastAsia="宋体" w:hAnsi="宋体"/>
        </w:rPr>
        <w:t>在全球变暖</w:t>
      </w:r>
      <w:r>
        <w:rPr>
          <w:rFonts w:ascii="宋体" w:eastAsia="宋体" w:hAnsi="宋体" w:hint="eastAsia"/>
        </w:rPr>
        <w:t>、</w:t>
      </w:r>
      <w:r w:rsidRPr="00B93BDA">
        <w:rPr>
          <w:rFonts w:ascii="宋体" w:eastAsia="宋体" w:hAnsi="宋体"/>
        </w:rPr>
        <w:t>能源枯竭的</w:t>
      </w:r>
      <w:r>
        <w:rPr>
          <w:rFonts w:ascii="宋体" w:eastAsia="宋体" w:hAnsi="宋体" w:hint="eastAsia"/>
        </w:rPr>
        <w:t>大环境</w:t>
      </w:r>
      <w:r w:rsidRPr="00B93BDA">
        <w:rPr>
          <w:rFonts w:ascii="宋体" w:eastAsia="宋体" w:hAnsi="宋体"/>
        </w:rPr>
        <w:t>下</w:t>
      </w:r>
      <w:r w:rsidRPr="00B93BDA">
        <w:rPr>
          <w:rFonts w:ascii="宋体" w:eastAsia="宋体" w:hAnsi="宋体" w:hint="eastAsia"/>
        </w:rPr>
        <w:t>，</w:t>
      </w:r>
      <w:r w:rsidRPr="00B93BDA">
        <w:rPr>
          <w:rFonts w:ascii="宋体" w:eastAsia="宋体" w:hAnsi="宋体"/>
        </w:rPr>
        <w:t>我国</w:t>
      </w:r>
      <w:r>
        <w:rPr>
          <w:rFonts w:ascii="宋体" w:eastAsia="宋体" w:hAnsi="宋体" w:hint="eastAsia"/>
        </w:rPr>
        <w:t>持续走</w:t>
      </w:r>
      <w:r w:rsidRPr="00B93BDA">
        <w:rPr>
          <w:rFonts w:ascii="宋体" w:eastAsia="宋体" w:hAnsi="宋体"/>
        </w:rPr>
        <w:t>“创新、协调、绿色、开放、共享”的发展</w:t>
      </w:r>
      <w:r>
        <w:rPr>
          <w:rFonts w:ascii="宋体" w:eastAsia="宋体" w:hAnsi="宋体" w:hint="eastAsia"/>
        </w:rPr>
        <w:t>路线</w:t>
      </w:r>
      <w:r w:rsidRPr="00B93BDA">
        <w:rPr>
          <w:rFonts w:ascii="宋体" w:eastAsia="宋体" w:hAnsi="宋体"/>
        </w:rPr>
        <w:t>，大力推进绿色低碳循环利用，采取有力行动应对气候</w:t>
      </w:r>
      <w:r w:rsidRPr="00B93BDA">
        <w:rPr>
          <w:rFonts w:ascii="宋体" w:eastAsia="宋体" w:hAnsi="宋体" w:hint="eastAsia"/>
        </w:rPr>
        <w:t>变化。</w:t>
      </w:r>
      <w:r>
        <w:rPr>
          <w:rFonts w:ascii="宋体" w:eastAsia="宋体" w:hAnsi="宋体" w:hint="eastAsia"/>
        </w:rPr>
        <w:t>具有</w:t>
      </w:r>
      <w:r w:rsidRPr="00B93BDA">
        <w:rPr>
          <w:rFonts w:ascii="宋体" w:eastAsia="宋体" w:hAnsi="宋体"/>
        </w:rPr>
        <w:t>清洁、</w:t>
      </w:r>
      <w:r>
        <w:rPr>
          <w:rFonts w:ascii="宋体" w:eastAsia="宋体" w:hAnsi="宋体" w:hint="eastAsia"/>
        </w:rPr>
        <w:t>可靠</w:t>
      </w:r>
      <w:r w:rsidRPr="00B93BDA">
        <w:rPr>
          <w:rFonts w:ascii="宋体" w:eastAsia="宋体" w:hAnsi="宋体"/>
        </w:rPr>
        <w:t>、取之不尽、用之不竭</w:t>
      </w:r>
      <w:r>
        <w:rPr>
          <w:rFonts w:ascii="宋体" w:eastAsia="宋体" w:hAnsi="宋体" w:hint="eastAsia"/>
        </w:rPr>
        <w:t>的</w:t>
      </w:r>
      <w:r w:rsidRPr="00B93BDA">
        <w:rPr>
          <w:rFonts w:ascii="宋体" w:eastAsia="宋体" w:hAnsi="宋体"/>
        </w:rPr>
        <w:t>优势，太阳能已成为发展最快的可再生能源。开发利用太阳能对调整能源结构、推进能源生产和消费革命、促进生态文明建设均具有重要意义</w:t>
      </w:r>
      <w:r>
        <w:rPr>
          <w:rFonts w:ascii="宋体" w:eastAsia="宋体" w:hAnsi="宋体" w:hint="eastAsia"/>
        </w:rPr>
        <w:t>。</w:t>
      </w:r>
    </w:p>
    <w:p w14:paraId="6F16BFE2" w14:textId="77777777" w:rsidR="0016055B" w:rsidRPr="00A60998" w:rsidRDefault="0016055B" w:rsidP="0016055B">
      <w:pPr>
        <w:rPr>
          <w:rFonts w:ascii="宋体" w:eastAsia="宋体" w:hAnsi="宋体"/>
        </w:rPr>
      </w:pPr>
      <w:r>
        <w:rPr>
          <w:rFonts w:ascii="宋体" w:eastAsia="宋体" w:hAnsi="宋体" w:hint="eastAsia"/>
        </w:rPr>
        <w:t>我国的光伏建筑刚刚起步，对于光伏科技，绿色建筑还有一个深化认识、不断探索的过程。不过，在国家政策和经济、科技进步以及人类环保意识崛起的多重助力下，未来，光伏建筑一体化是建筑行业的必然趋势，也许不久的将来，我们也会亲眼目睹传统建筑业的大变革！</w:t>
      </w:r>
    </w:p>
    <w:p w14:paraId="56CC3457" w14:textId="77777777" w:rsidR="0016055B" w:rsidRPr="005024B4" w:rsidRDefault="0016055B" w:rsidP="0016055B">
      <w:pPr>
        <w:rPr>
          <w:rFonts w:ascii="宋体" w:eastAsia="宋体" w:hAnsi="宋体"/>
        </w:rPr>
      </w:pPr>
    </w:p>
    <w:p w14:paraId="7300D587" w14:textId="77777777" w:rsidR="0016055B" w:rsidRDefault="0016055B" w:rsidP="0016055B">
      <w:pPr>
        <w:rPr>
          <w:rFonts w:ascii="宋体" w:eastAsia="宋体" w:hAnsi="宋体"/>
        </w:rPr>
      </w:pPr>
      <w:r>
        <w:rPr>
          <w:rFonts w:ascii="宋体" w:eastAsia="宋体" w:hAnsi="宋体" w:hint="eastAsia"/>
        </w:rPr>
        <w:t xml:space="preserve">【1】赵西安 </w:t>
      </w:r>
      <w:r>
        <w:rPr>
          <w:rFonts w:ascii="宋体" w:eastAsia="宋体" w:hAnsi="宋体"/>
        </w:rPr>
        <w:t xml:space="preserve"> </w:t>
      </w:r>
      <w:r>
        <w:rPr>
          <w:rFonts w:ascii="宋体" w:eastAsia="宋体" w:hAnsi="宋体" w:hint="eastAsia"/>
        </w:rPr>
        <w:t>我国光伏建筑的进展</w:t>
      </w:r>
    </w:p>
    <w:p w14:paraId="020C99C7" w14:textId="77777777" w:rsidR="0016055B" w:rsidRDefault="0016055B" w:rsidP="0016055B">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秦文均，李想.中国光伏建筑一体化行业概况与发展前景，建筑学报，2</w:t>
      </w:r>
      <w:r>
        <w:rPr>
          <w:rFonts w:ascii="宋体" w:eastAsia="宋体" w:hAnsi="宋体"/>
        </w:rPr>
        <w:t>019</w:t>
      </w:r>
    </w:p>
    <w:p w14:paraId="387412FA" w14:textId="77777777" w:rsidR="0016055B" w:rsidRDefault="0016055B" w:rsidP="0016055B">
      <w:pPr>
        <w:rPr>
          <w:rFonts w:ascii="宋体" w:eastAsia="宋体" w:hAnsi="宋体"/>
        </w:rPr>
      </w:pPr>
    </w:p>
    <w:p w14:paraId="09248B5F" w14:textId="77777777" w:rsidR="006B0C15" w:rsidRPr="0016055B" w:rsidRDefault="006B0C15" w:rsidP="007849B8"/>
    <w:p w14:paraId="5E2AE3E0" w14:textId="401487F6" w:rsidR="007849B8" w:rsidRDefault="005043BC" w:rsidP="007849B8">
      <w:r>
        <w:rPr>
          <w:rFonts w:hint="eastAsia"/>
        </w:rPr>
        <w:t>六</w:t>
      </w:r>
      <w:r w:rsidR="007849B8">
        <w:rPr>
          <w:rFonts w:hint="eastAsia"/>
        </w:rPr>
        <w:t>、模型检验</w:t>
      </w:r>
    </w:p>
    <w:p w14:paraId="58491EC5" w14:textId="47ABBE29" w:rsidR="007849B8" w:rsidRDefault="005043BC" w:rsidP="007849B8">
      <w:r>
        <w:rPr>
          <w:rFonts w:hint="eastAsia"/>
        </w:rPr>
        <w:t>七</w:t>
      </w:r>
      <w:r w:rsidR="007849B8">
        <w:t>、模型评价</w:t>
      </w:r>
    </w:p>
    <w:p w14:paraId="12211B3B" w14:textId="603B2D95" w:rsidR="007849B8" w:rsidRDefault="005043BC" w:rsidP="007849B8">
      <w:r>
        <w:rPr>
          <w:rFonts w:hint="eastAsia"/>
        </w:rPr>
        <w:t>八</w:t>
      </w:r>
      <w:r w:rsidR="007849B8">
        <w:t>、模型推广</w:t>
      </w:r>
    </w:p>
    <w:p w14:paraId="1B1E586A" w14:textId="4716F7A4" w:rsidR="007849B8" w:rsidRDefault="005043BC" w:rsidP="007849B8">
      <w:r>
        <w:rPr>
          <w:rFonts w:hint="eastAsia"/>
        </w:rPr>
        <w:t>九</w:t>
      </w:r>
      <w:r w:rsidR="007849B8">
        <w:t>、参考文献</w:t>
      </w:r>
    </w:p>
    <w:p w14:paraId="4F2D80FA" w14:textId="643B1CBE" w:rsidR="001C7A39" w:rsidRDefault="001C7A39" w:rsidP="007849B8"/>
    <w:p w14:paraId="4ACA878E" w14:textId="56BF26F4" w:rsidR="00A56FC0" w:rsidRDefault="00A56FC0" w:rsidP="007849B8"/>
    <w:p w14:paraId="7E464CB5" w14:textId="69F9B56F" w:rsidR="00A56FC0" w:rsidRDefault="00A56FC0" w:rsidP="007849B8"/>
    <w:p w14:paraId="2BB262EE" w14:textId="77777777" w:rsidR="00A56FC0" w:rsidRDefault="00A56FC0" w:rsidP="007849B8"/>
    <w:p w14:paraId="399771C3" w14:textId="01F412B8" w:rsidR="001C7A39" w:rsidRDefault="001C7A39" w:rsidP="007849B8"/>
    <w:p w14:paraId="0B7EDE42" w14:textId="1D215369" w:rsidR="001C7A39" w:rsidRDefault="001C7A39" w:rsidP="007849B8"/>
    <w:p w14:paraId="2289ADEA" w14:textId="16E1BF3E" w:rsidR="001C7A39" w:rsidRDefault="001C7A39" w:rsidP="007849B8"/>
    <w:p w14:paraId="6D726574" w14:textId="58AB16FA" w:rsidR="001C7A39" w:rsidRDefault="001C7A39" w:rsidP="007849B8"/>
    <w:p w14:paraId="369D5268" w14:textId="4C6F349A" w:rsidR="001C7A39" w:rsidRDefault="001C7A39" w:rsidP="007849B8"/>
    <w:p w14:paraId="6141C319" w14:textId="32E6770A" w:rsidR="001C7A39" w:rsidRDefault="001C7A39" w:rsidP="007849B8"/>
    <w:p w14:paraId="4E71961F" w14:textId="7698F4C8" w:rsidR="001C7A39" w:rsidRDefault="001C7A39" w:rsidP="007849B8"/>
    <w:p w14:paraId="64F38E78" w14:textId="6EAD8E7F" w:rsidR="001C7A39" w:rsidRDefault="001C7A39" w:rsidP="007849B8"/>
    <w:p w14:paraId="1340967A" w14:textId="758A04BF" w:rsidR="001C7A39" w:rsidRDefault="001C7A39" w:rsidP="007849B8">
      <w:r>
        <w:rPr>
          <w:rFonts w:hint="eastAsia"/>
        </w:rPr>
        <w:t>【1】</w:t>
      </w:r>
      <w:r w:rsidRPr="001C7A39">
        <w:rPr>
          <w:rFonts w:hint="eastAsia"/>
        </w:rPr>
        <w:t>云端．国外太阳能利用状况</w:t>
      </w:r>
      <w:r w:rsidRPr="001C7A39">
        <w:t>[J]．建筑，2008，（5）</w:t>
      </w:r>
    </w:p>
    <w:p w14:paraId="4AE50DBF" w14:textId="4CCDD74C" w:rsidR="00A56FC0" w:rsidRPr="00463138" w:rsidRDefault="00A56FC0" w:rsidP="007849B8">
      <w:r>
        <w:rPr>
          <w:rFonts w:hint="eastAsia"/>
        </w:rPr>
        <w:t>【2】</w:t>
      </w:r>
      <w:r w:rsidR="00A52F98" w:rsidRPr="00A52F98">
        <w:rPr>
          <w:rFonts w:hint="eastAsia"/>
        </w:rPr>
        <w:t>卢宗辉</w:t>
      </w:r>
      <w:r w:rsidR="00463138">
        <w:rPr>
          <w:rFonts w:hint="eastAsia"/>
        </w:rPr>
        <w:t xml:space="preserve"> </w:t>
      </w:r>
      <w:r w:rsidR="00A52F98">
        <w:rPr>
          <w:rFonts w:hint="eastAsia"/>
        </w:rPr>
        <w:t>.</w:t>
      </w:r>
      <w:r w:rsidR="00A52F98">
        <w:t xml:space="preserve"> </w:t>
      </w:r>
      <w:r w:rsidR="00463138" w:rsidRPr="00463138">
        <w:rPr>
          <w:rFonts w:hint="eastAsia"/>
        </w:rPr>
        <w:t>中国股市调控政策研究——历史、走向与市场影</w:t>
      </w:r>
      <w:r w:rsidR="00C77B96">
        <w:rPr>
          <w:rFonts w:hint="eastAsia"/>
        </w:rPr>
        <w:t>响</w:t>
      </w:r>
      <w:r w:rsidR="00463138">
        <w:rPr>
          <w:rFonts w:hint="eastAsia"/>
        </w:rPr>
        <w:t xml:space="preserve"> </w:t>
      </w:r>
      <w:r w:rsidR="00463138">
        <w:t xml:space="preserve">. </w:t>
      </w:r>
      <w:r w:rsidR="006A1F4A">
        <w:t>2006</w:t>
      </w:r>
      <w:r w:rsidR="006A1F4A">
        <w:rPr>
          <w:rFonts w:hint="eastAsia"/>
        </w:rPr>
        <w:t>，（0</w:t>
      </w:r>
      <w:r w:rsidR="006A1F4A">
        <w:t>2</w:t>
      </w:r>
      <w:r w:rsidR="006A1F4A">
        <w:rPr>
          <w:rFonts w:hint="eastAsia"/>
        </w:rPr>
        <w:t>）</w:t>
      </w:r>
    </w:p>
    <w:sectPr w:rsidR="00A56FC0" w:rsidRPr="00463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E8017" w14:textId="77777777" w:rsidR="002E5308" w:rsidRDefault="002E5308" w:rsidP="009F660C">
      <w:r>
        <w:separator/>
      </w:r>
    </w:p>
  </w:endnote>
  <w:endnote w:type="continuationSeparator" w:id="0">
    <w:p w14:paraId="2F93A8F0" w14:textId="77777777" w:rsidR="002E5308" w:rsidRDefault="002E5308" w:rsidP="009F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BD5CC" w14:textId="77777777" w:rsidR="002E5308" w:rsidRDefault="002E5308" w:rsidP="009F660C">
      <w:r>
        <w:separator/>
      </w:r>
    </w:p>
  </w:footnote>
  <w:footnote w:type="continuationSeparator" w:id="0">
    <w:p w14:paraId="7EE7FAA9" w14:textId="77777777" w:rsidR="002E5308" w:rsidRDefault="002E5308" w:rsidP="009F6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E667B"/>
    <w:multiLevelType w:val="hybridMultilevel"/>
    <w:tmpl w:val="2C728F6E"/>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74"/>
    <w:rsid w:val="000157B6"/>
    <w:rsid w:val="00015C69"/>
    <w:rsid w:val="00021F3C"/>
    <w:rsid w:val="00030EC4"/>
    <w:rsid w:val="00033065"/>
    <w:rsid w:val="00047F56"/>
    <w:rsid w:val="00050836"/>
    <w:rsid w:val="00053EA5"/>
    <w:rsid w:val="00057692"/>
    <w:rsid w:val="00062675"/>
    <w:rsid w:val="0006589A"/>
    <w:rsid w:val="00066C0C"/>
    <w:rsid w:val="00072DF8"/>
    <w:rsid w:val="00073402"/>
    <w:rsid w:val="000757C8"/>
    <w:rsid w:val="00083BBF"/>
    <w:rsid w:val="000B0F58"/>
    <w:rsid w:val="000B7305"/>
    <w:rsid w:val="000C4A73"/>
    <w:rsid w:val="000D6D8D"/>
    <w:rsid w:val="000E2150"/>
    <w:rsid w:val="000F09A8"/>
    <w:rsid w:val="000F4B45"/>
    <w:rsid w:val="000F7AAF"/>
    <w:rsid w:val="0010253D"/>
    <w:rsid w:val="001028D2"/>
    <w:rsid w:val="00107E82"/>
    <w:rsid w:val="0012629A"/>
    <w:rsid w:val="0013115D"/>
    <w:rsid w:val="00134715"/>
    <w:rsid w:val="00145C8A"/>
    <w:rsid w:val="00153353"/>
    <w:rsid w:val="0016055B"/>
    <w:rsid w:val="00165280"/>
    <w:rsid w:val="00170CF1"/>
    <w:rsid w:val="00172B4F"/>
    <w:rsid w:val="00173EAB"/>
    <w:rsid w:val="00175E71"/>
    <w:rsid w:val="00177462"/>
    <w:rsid w:val="0018661E"/>
    <w:rsid w:val="00193F10"/>
    <w:rsid w:val="001B4943"/>
    <w:rsid w:val="001B731F"/>
    <w:rsid w:val="001C4A4E"/>
    <w:rsid w:val="001C542F"/>
    <w:rsid w:val="001C7A39"/>
    <w:rsid w:val="001D259D"/>
    <w:rsid w:val="001E05F1"/>
    <w:rsid w:val="001E5EBF"/>
    <w:rsid w:val="001F1E16"/>
    <w:rsid w:val="001F320A"/>
    <w:rsid w:val="0020319D"/>
    <w:rsid w:val="0020457C"/>
    <w:rsid w:val="00204C36"/>
    <w:rsid w:val="00207D2C"/>
    <w:rsid w:val="00212F80"/>
    <w:rsid w:val="00214890"/>
    <w:rsid w:val="00217933"/>
    <w:rsid w:val="002234DB"/>
    <w:rsid w:val="00225D9A"/>
    <w:rsid w:val="00233361"/>
    <w:rsid w:val="00234E04"/>
    <w:rsid w:val="00236DC1"/>
    <w:rsid w:val="002418A4"/>
    <w:rsid w:val="00243DB6"/>
    <w:rsid w:val="00245413"/>
    <w:rsid w:val="00251519"/>
    <w:rsid w:val="002554E2"/>
    <w:rsid w:val="0026680B"/>
    <w:rsid w:val="00273D0C"/>
    <w:rsid w:val="00276A29"/>
    <w:rsid w:val="00277254"/>
    <w:rsid w:val="00282694"/>
    <w:rsid w:val="002827AE"/>
    <w:rsid w:val="002827B7"/>
    <w:rsid w:val="002830E6"/>
    <w:rsid w:val="00295621"/>
    <w:rsid w:val="00297451"/>
    <w:rsid w:val="002A0BB6"/>
    <w:rsid w:val="002A2801"/>
    <w:rsid w:val="002A3E19"/>
    <w:rsid w:val="002B2C7C"/>
    <w:rsid w:val="002B5BC8"/>
    <w:rsid w:val="002C2756"/>
    <w:rsid w:val="002D2742"/>
    <w:rsid w:val="002D4B84"/>
    <w:rsid w:val="002D5EDD"/>
    <w:rsid w:val="002E2A3C"/>
    <w:rsid w:val="002E5308"/>
    <w:rsid w:val="002F7113"/>
    <w:rsid w:val="003027BC"/>
    <w:rsid w:val="00304893"/>
    <w:rsid w:val="003158A9"/>
    <w:rsid w:val="00321928"/>
    <w:rsid w:val="00321ACE"/>
    <w:rsid w:val="00326602"/>
    <w:rsid w:val="00326BF5"/>
    <w:rsid w:val="00336B83"/>
    <w:rsid w:val="00336E10"/>
    <w:rsid w:val="003443D9"/>
    <w:rsid w:val="00351A87"/>
    <w:rsid w:val="00352037"/>
    <w:rsid w:val="00354CAB"/>
    <w:rsid w:val="0035703E"/>
    <w:rsid w:val="00361553"/>
    <w:rsid w:val="00365D44"/>
    <w:rsid w:val="003666E7"/>
    <w:rsid w:val="00370E76"/>
    <w:rsid w:val="00372FF7"/>
    <w:rsid w:val="0037335B"/>
    <w:rsid w:val="003745F7"/>
    <w:rsid w:val="00374AA3"/>
    <w:rsid w:val="00387752"/>
    <w:rsid w:val="003A1BB1"/>
    <w:rsid w:val="003A34ED"/>
    <w:rsid w:val="003B066E"/>
    <w:rsid w:val="003B4EC1"/>
    <w:rsid w:val="003D7425"/>
    <w:rsid w:val="003E2CC4"/>
    <w:rsid w:val="003F1DE2"/>
    <w:rsid w:val="003F5063"/>
    <w:rsid w:val="003F7B25"/>
    <w:rsid w:val="00401FE0"/>
    <w:rsid w:val="00404F7D"/>
    <w:rsid w:val="00407C1B"/>
    <w:rsid w:val="00411615"/>
    <w:rsid w:val="004150EC"/>
    <w:rsid w:val="0041635F"/>
    <w:rsid w:val="004206D9"/>
    <w:rsid w:val="004229E9"/>
    <w:rsid w:val="004239EB"/>
    <w:rsid w:val="00426A9A"/>
    <w:rsid w:val="00427849"/>
    <w:rsid w:val="00431ABA"/>
    <w:rsid w:val="00432BCA"/>
    <w:rsid w:val="004479D9"/>
    <w:rsid w:val="004602D7"/>
    <w:rsid w:val="00460541"/>
    <w:rsid w:val="00463138"/>
    <w:rsid w:val="00466701"/>
    <w:rsid w:val="00477530"/>
    <w:rsid w:val="00490570"/>
    <w:rsid w:val="00491E2F"/>
    <w:rsid w:val="00493626"/>
    <w:rsid w:val="004A051C"/>
    <w:rsid w:val="004A1175"/>
    <w:rsid w:val="004A4018"/>
    <w:rsid w:val="004B0CC2"/>
    <w:rsid w:val="004B3A3E"/>
    <w:rsid w:val="004B713A"/>
    <w:rsid w:val="004C5034"/>
    <w:rsid w:val="004C7F2B"/>
    <w:rsid w:val="004D0459"/>
    <w:rsid w:val="004D75EA"/>
    <w:rsid w:val="004E0D58"/>
    <w:rsid w:val="004E1009"/>
    <w:rsid w:val="004E1D34"/>
    <w:rsid w:val="004E5361"/>
    <w:rsid w:val="004F3808"/>
    <w:rsid w:val="004F49CE"/>
    <w:rsid w:val="00503B5A"/>
    <w:rsid w:val="005043BC"/>
    <w:rsid w:val="0050475E"/>
    <w:rsid w:val="00517834"/>
    <w:rsid w:val="00520E44"/>
    <w:rsid w:val="00523B14"/>
    <w:rsid w:val="00526608"/>
    <w:rsid w:val="005300E4"/>
    <w:rsid w:val="00530967"/>
    <w:rsid w:val="0053287C"/>
    <w:rsid w:val="00533869"/>
    <w:rsid w:val="00535D15"/>
    <w:rsid w:val="005413BC"/>
    <w:rsid w:val="00543AF2"/>
    <w:rsid w:val="0054753A"/>
    <w:rsid w:val="00550187"/>
    <w:rsid w:val="00550D4F"/>
    <w:rsid w:val="0055403A"/>
    <w:rsid w:val="0056301A"/>
    <w:rsid w:val="005652DE"/>
    <w:rsid w:val="00577AB2"/>
    <w:rsid w:val="00584077"/>
    <w:rsid w:val="005A22F6"/>
    <w:rsid w:val="005B3533"/>
    <w:rsid w:val="005B4265"/>
    <w:rsid w:val="005C479C"/>
    <w:rsid w:val="005C7CF6"/>
    <w:rsid w:val="005D1D16"/>
    <w:rsid w:val="005D5430"/>
    <w:rsid w:val="005E147B"/>
    <w:rsid w:val="005E7A34"/>
    <w:rsid w:val="005F362D"/>
    <w:rsid w:val="005F47AA"/>
    <w:rsid w:val="005F714A"/>
    <w:rsid w:val="00601831"/>
    <w:rsid w:val="006032B1"/>
    <w:rsid w:val="0060337C"/>
    <w:rsid w:val="0061235A"/>
    <w:rsid w:val="00614481"/>
    <w:rsid w:val="00614F59"/>
    <w:rsid w:val="006151EC"/>
    <w:rsid w:val="0061657D"/>
    <w:rsid w:val="00617163"/>
    <w:rsid w:val="0062589B"/>
    <w:rsid w:val="00633A11"/>
    <w:rsid w:val="00634B90"/>
    <w:rsid w:val="00641ED9"/>
    <w:rsid w:val="00662315"/>
    <w:rsid w:val="00671AF6"/>
    <w:rsid w:val="00686C56"/>
    <w:rsid w:val="00686DDE"/>
    <w:rsid w:val="00692CC8"/>
    <w:rsid w:val="006931FB"/>
    <w:rsid w:val="00693613"/>
    <w:rsid w:val="00693776"/>
    <w:rsid w:val="006A0EF9"/>
    <w:rsid w:val="006A1F4A"/>
    <w:rsid w:val="006A787A"/>
    <w:rsid w:val="006B0C15"/>
    <w:rsid w:val="006C5920"/>
    <w:rsid w:val="006D13BD"/>
    <w:rsid w:val="006D1D72"/>
    <w:rsid w:val="006D5A78"/>
    <w:rsid w:val="006E432E"/>
    <w:rsid w:val="006E643E"/>
    <w:rsid w:val="006E680D"/>
    <w:rsid w:val="006E6C53"/>
    <w:rsid w:val="006F0539"/>
    <w:rsid w:val="006F08D6"/>
    <w:rsid w:val="006F2A1E"/>
    <w:rsid w:val="006F38A1"/>
    <w:rsid w:val="00725207"/>
    <w:rsid w:val="00725D90"/>
    <w:rsid w:val="007312D9"/>
    <w:rsid w:val="00731FFF"/>
    <w:rsid w:val="007406A4"/>
    <w:rsid w:val="00750DA7"/>
    <w:rsid w:val="007522E2"/>
    <w:rsid w:val="00756F1E"/>
    <w:rsid w:val="00757E79"/>
    <w:rsid w:val="00760259"/>
    <w:rsid w:val="007614BD"/>
    <w:rsid w:val="00766832"/>
    <w:rsid w:val="0078083B"/>
    <w:rsid w:val="00780D1A"/>
    <w:rsid w:val="007849B8"/>
    <w:rsid w:val="00796916"/>
    <w:rsid w:val="007A22E5"/>
    <w:rsid w:val="007A5368"/>
    <w:rsid w:val="007B0E6E"/>
    <w:rsid w:val="007B13CD"/>
    <w:rsid w:val="007D0C96"/>
    <w:rsid w:val="007E27A8"/>
    <w:rsid w:val="007E438D"/>
    <w:rsid w:val="007E59CB"/>
    <w:rsid w:val="007F5492"/>
    <w:rsid w:val="007F5DD4"/>
    <w:rsid w:val="007F5E54"/>
    <w:rsid w:val="007F6D37"/>
    <w:rsid w:val="00801B49"/>
    <w:rsid w:val="00803CA3"/>
    <w:rsid w:val="008061BF"/>
    <w:rsid w:val="00820303"/>
    <w:rsid w:val="00822AD8"/>
    <w:rsid w:val="00823A33"/>
    <w:rsid w:val="008338A9"/>
    <w:rsid w:val="00834332"/>
    <w:rsid w:val="00843456"/>
    <w:rsid w:val="00843B0C"/>
    <w:rsid w:val="00844AC4"/>
    <w:rsid w:val="00856C08"/>
    <w:rsid w:val="008630DA"/>
    <w:rsid w:val="008700D7"/>
    <w:rsid w:val="00876901"/>
    <w:rsid w:val="00877626"/>
    <w:rsid w:val="00877674"/>
    <w:rsid w:val="00882437"/>
    <w:rsid w:val="00885A45"/>
    <w:rsid w:val="00896FC9"/>
    <w:rsid w:val="008A4549"/>
    <w:rsid w:val="008A5291"/>
    <w:rsid w:val="008A589A"/>
    <w:rsid w:val="008A7922"/>
    <w:rsid w:val="008B06A6"/>
    <w:rsid w:val="008B7207"/>
    <w:rsid w:val="008C0FC3"/>
    <w:rsid w:val="008C62C6"/>
    <w:rsid w:val="008D4E44"/>
    <w:rsid w:val="008D7987"/>
    <w:rsid w:val="008E1968"/>
    <w:rsid w:val="008E4C17"/>
    <w:rsid w:val="008E58DC"/>
    <w:rsid w:val="008F7986"/>
    <w:rsid w:val="00902AA7"/>
    <w:rsid w:val="009030FA"/>
    <w:rsid w:val="00924758"/>
    <w:rsid w:val="00925E8F"/>
    <w:rsid w:val="009311E9"/>
    <w:rsid w:val="00933168"/>
    <w:rsid w:val="00937AE3"/>
    <w:rsid w:val="00941D27"/>
    <w:rsid w:val="00943670"/>
    <w:rsid w:val="00951D47"/>
    <w:rsid w:val="009633B6"/>
    <w:rsid w:val="00964076"/>
    <w:rsid w:val="00965F57"/>
    <w:rsid w:val="00967A00"/>
    <w:rsid w:val="00970F53"/>
    <w:rsid w:val="00972BC1"/>
    <w:rsid w:val="00974B7B"/>
    <w:rsid w:val="00976EC4"/>
    <w:rsid w:val="00981B4D"/>
    <w:rsid w:val="00981EE8"/>
    <w:rsid w:val="009878BA"/>
    <w:rsid w:val="0099392E"/>
    <w:rsid w:val="00997A62"/>
    <w:rsid w:val="009A1A3E"/>
    <w:rsid w:val="009A1F51"/>
    <w:rsid w:val="009C1C5B"/>
    <w:rsid w:val="009C1E79"/>
    <w:rsid w:val="009C3365"/>
    <w:rsid w:val="009C4EB4"/>
    <w:rsid w:val="009C5D5C"/>
    <w:rsid w:val="009C7CC2"/>
    <w:rsid w:val="009D1250"/>
    <w:rsid w:val="009D1490"/>
    <w:rsid w:val="009D374D"/>
    <w:rsid w:val="009E4599"/>
    <w:rsid w:val="009E7072"/>
    <w:rsid w:val="009F660C"/>
    <w:rsid w:val="00A06301"/>
    <w:rsid w:val="00A142B5"/>
    <w:rsid w:val="00A15EF2"/>
    <w:rsid w:val="00A23024"/>
    <w:rsid w:val="00A268A7"/>
    <w:rsid w:val="00A30213"/>
    <w:rsid w:val="00A37984"/>
    <w:rsid w:val="00A40E6B"/>
    <w:rsid w:val="00A41EB4"/>
    <w:rsid w:val="00A43CAA"/>
    <w:rsid w:val="00A52F98"/>
    <w:rsid w:val="00A56FC0"/>
    <w:rsid w:val="00A90C0D"/>
    <w:rsid w:val="00A90DA6"/>
    <w:rsid w:val="00A96632"/>
    <w:rsid w:val="00AB075E"/>
    <w:rsid w:val="00AB1D98"/>
    <w:rsid w:val="00AB5A2A"/>
    <w:rsid w:val="00AC05F2"/>
    <w:rsid w:val="00AC0BF5"/>
    <w:rsid w:val="00AC370F"/>
    <w:rsid w:val="00AC5121"/>
    <w:rsid w:val="00AD49E7"/>
    <w:rsid w:val="00AD7D4E"/>
    <w:rsid w:val="00AE48E8"/>
    <w:rsid w:val="00AE5C82"/>
    <w:rsid w:val="00AF5574"/>
    <w:rsid w:val="00AF59BD"/>
    <w:rsid w:val="00B05921"/>
    <w:rsid w:val="00B13238"/>
    <w:rsid w:val="00B171B5"/>
    <w:rsid w:val="00B25FCC"/>
    <w:rsid w:val="00B2622F"/>
    <w:rsid w:val="00B323DB"/>
    <w:rsid w:val="00B33456"/>
    <w:rsid w:val="00B352BA"/>
    <w:rsid w:val="00B37E4F"/>
    <w:rsid w:val="00B47B4C"/>
    <w:rsid w:val="00B53E7A"/>
    <w:rsid w:val="00B5675C"/>
    <w:rsid w:val="00B6184A"/>
    <w:rsid w:val="00B661AB"/>
    <w:rsid w:val="00B72281"/>
    <w:rsid w:val="00B73D3D"/>
    <w:rsid w:val="00B74865"/>
    <w:rsid w:val="00B92CC8"/>
    <w:rsid w:val="00BB0574"/>
    <w:rsid w:val="00BB5D16"/>
    <w:rsid w:val="00BC0168"/>
    <w:rsid w:val="00BC4BF4"/>
    <w:rsid w:val="00BD7D21"/>
    <w:rsid w:val="00BE4236"/>
    <w:rsid w:val="00BE4CF9"/>
    <w:rsid w:val="00BE799A"/>
    <w:rsid w:val="00BF4F3D"/>
    <w:rsid w:val="00C02B24"/>
    <w:rsid w:val="00C12DAD"/>
    <w:rsid w:val="00C13A77"/>
    <w:rsid w:val="00C24171"/>
    <w:rsid w:val="00C24C23"/>
    <w:rsid w:val="00C25594"/>
    <w:rsid w:val="00C3134A"/>
    <w:rsid w:val="00C32EC8"/>
    <w:rsid w:val="00C33438"/>
    <w:rsid w:val="00C44C3D"/>
    <w:rsid w:val="00C47B7F"/>
    <w:rsid w:val="00C649BB"/>
    <w:rsid w:val="00C76FE6"/>
    <w:rsid w:val="00C77B96"/>
    <w:rsid w:val="00C82211"/>
    <w:rsid w:val="00C857F1"/>
    <w:rsid w:val="00C87CE8"/>
    <w:rsid w:val="00C92F99"/>
    <w:rsid w:val="00C9559E"/>
    <w:rsid w:val="00CA1EF7"/>
    <w:rsid w:val="00CB5AB7"/>
    <w:rsid w:val="00CC4AF3"/>
    <w:rsid w:val="00CC5604"/>
    <w:rsid w:val="00CD4546"/>
    <w:rsid w:val="00CE15F5"/>
    <w:rsid w:val="00CF0B2C"/>
    <w:rsid w:val="00CF0E68"/>
    <w:rsid w:val="00D037EB"/>
    <w:rsid w:val="00D0391E"/>
    <w:rsid w:val="00D04F3E"/>
    <w:rsid w:val="00D243D0"/>
    <w:rsid w:val="00D2488F"/>
    <w:rsid w:val="00D255F3"/>
    <w:rsid w:val="00D31A1E"/>
    <w:rsid w:val="00D31AEA"/>
    <w:rsid w:val="00D44938"/>
    <w:rsid w:val="00D47009"/>
    <w:rsid w:val="00D47EB5"/>
    <w:rsid w:val="00D6188B"/>
    <w:rsid w:val="00D6201F"/>
    <w:rsid w:val="00D81B90"/>
    <w:rsid w:val="00D821A1"/>
    <w:rsid w:val="00D83B17"/>
    <w:rsid w:val="00D90913"/>
    <w:rsid w:val="00D96CC0"/>
    <w:rsid w:val="00DA5474"/>
    <w:rsid w:val="00DB0A76"/>
    <w:rsid w:val="00DC0063"/>
    <w:rsid w:val="00DC1455"/>
    <w:rsid w:val="00DC2EA5"/>
    <w:rsid w:val="00DC3C50"/>
    <w:rsid w:val="00DE62A9"/>
    <w:rsid w:val="00DF19D7"/>
    <w:rsid w:val="00E05B41"/>
    <w:rsid w:val="00E10538"/>
    <w:rsid w:val="00E10C3F"/>
    <w:rsid w:val="00E13209"/>
    <w:rsid w:val="00E144AB"/>
    <w:rsid w:val="00E175F3"/>
    <w:rsid w:val="00E17FFC"/>
    <w:rsid w:val="00E23096"/>
    <w:rsid w:val="00E238E5"/>
    <w:rsid w:val="00E2404F"/>
    <w:rsid w:val="00E25C2B"/>
    <w:rsid w:val="00E34C84"/>
    <w:rsid w:val="00E37D29"/>
    <w:rsid w:val="00E419A8"/>
    <w:rsid w:val="00E42061"/>
    <w:rsid w:val="00E500C8"/>
    <w:rsid w:val="00E548EA"/>
    <w:rsid w:val="00E63D85"/>
    <w:rsid w:val="00E645BB"/>
    <w:rsid w:val="00E71B30"/>
    <w:rsid w:val="00E96D22"/>
    <w:rsid w:val="00EA0246"/>
    <w:rsid w:val="00EB6ACD"/>
    <w:rsid w:val="00EC1A58"/>
    <w:rsid w:val="00EC400C"/>
    <w:rsid w:val="00ED03AB"/>
    <w:rsid w:val="00ED0BA5"/>
    <w:rsid w:val="00ED4AB6"/>
    <w:rsid w:val="00EE09D1"/>
    <w:rsid w:val="00EE36D3"/>
    <w:rsid w:val="00EF1EF9"/>
    <w:rsid w:val="00F03739"/>
    <w:rsid w:val="00F056E7"/>
    <w:rsid w:val="00F069C6"/>
    <w:rsid w:val="00F14CC6"/>
    <w:rsid w:val="00F164AB"/>
    <w:rsid w:val="00F20603"/>
    <w:rsid w:val="00F36B1A"/>
    <w:rsid w:val="00F47AED"/>
    <w:rsid w:val="00F47CC1"/>
    <w:rsid w:val="00F47DFD"/>
    <w:rsid w:val="00F53621"/>
    <w:rsid w:val="00F56E72"/>
    <w:rsid w:val="00F70880"/>
    <w:rsid w:val="00F747D3"/>
    <w:rsid w:val="00F7597A"/>
    <w:rsid w:val="00F81913"/>
    <w:rsid w:val="00F81D68"/>
    <w:rsid w:val="00F82B93"/>
    <w:rsid w:val="00F8337D"/>
    <w:rsid w:val="00F84D38"/>
    <w:rsid w:val="00F97632"/>
    <w:rsid w:val="00FA130B"/>
    <w:rsid w:val="00FA1AD0"/>
    <w:rsid w:val="00FA2C6F"/>
    <w:rsid w:val="00FB2C65"/>
    <w:rsid w:val="00FB3C05"/>
    <w:rsid w:val="00FB452D"/>
    <w:rsid w:val="00FC2CF7"/>
    <w:rsid w:val="00FC42D3"/>
    <w:rsid w:val="00FC59CC"/>
    <w:rsid w:val="00FD53C2"/>
    <w:rsid w:val="00FD75B0"/>
    <w:rsid w:val="00FD7D15"/>
    <w:rsid w:val="00FD7F3F"/>
    <w:rsid w:val="00FE0C44"/>
    <w:rsid w:val="00FE0CBA"/>
    <w:rsid w:val="00FE4134"/>
    <w:rsid w:val="00FE6794"/>
    <w:rsid w:val="00FF16CE"/>
    <w:rsid w:val="00FF4F7C"/>
    <w:rsid w:val="00FF6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CCCDA"/>
  <w15:chartTrackingRefBased/>
  <w15:docId w15:val="{59FC89CA-DA92-45FD-83EC-FA700BF7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DisplayEquation">
    <w:name w:val="AMDisplayEquation"/>
    <w:basedOn w:val="a"/>
    <w:next w:val="a"/>
    <w:link w:val="AMDisplayEquation0"/>
    <w:rsid w:val="00F47CC1"/>
    <w:pPr>
      <w:tabs>
        <w:tab w:val="center" w:pos="4160"/>
        <w:tab w:val="right" w:pos="8300"/>
      </w:tabs>
    </w:pPr>
  </w:style>
  <w:style w:type="character" w:customStyle="1" w:styleId="AMDisplayEquation0">
    <w:name w:val="AMDisplayEquation 字符"/>
    <w:basedOn w:val="a0"/>
    <w:link w:val="AMDisplayEquation"/>
    <w:rsid w:val="00F47CC1"/>
  </w:style>
  <w:style w:type="paragraph" w:styleId="a3">
    <w:name w:val="header"/>
    <w:basedOn w:val="a"/>
    <w:link w:val="a4"/>
    <w:uiPriority w:val="99"/>
    <w:unhideWhenUsed/>
    <w:rsid w:val="009F66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660C"/>
    <w:rPr>
      <w:sz w:val="18"/>
      <w:szCs w:val="18"/>
    </w:rPr>
  </w:style>
  <w:style w:type="paragraph" w:styleId="a5">
    <w:name w:val="footer"/>
    <w:basedOn w:val="a"/>
    <w:link w:val="a6"/>
    <w:uiPriority w:val="99"/>
    <w:unhideWhenUsed/>
    <w:rsid w:val="009F660C"/>
    <w:pPr>
      <w:tabs>
        <w:tab w:val="center" w:pos="4153"/>
        <w:tab w:val="right" w:pos="8306"/>
      </w:tabs>
      <w:snapToGrid w:val="0"/>
      <w:jc w:val="left"/>
    </w:pPr>
    <w:rPr>
      <w:sz w:val="18"/>
      <w:szCs w:val="18"/>
    </w:rPr>
  </w:style>
  <w:style w:type="character" w:customStyle="1" w:styleId="a6">
    <w:name w:val="页脚 字符"/>
    <w:basedOn w:val="a0"/>
    <w:link w:val="a5"/>
    <w:uiPriority w:val="99"/>
    <w:rsid w:val="009F660C"/>
    <w:rPr>
      <w:sz w:val="18"/>
      <w:szCs w:val="18"/>
    </w:rPr>
  </w:style>
  <w:style w:type="character" w:styleId="a7">
    <w:name w:val="Placeholder Text"/>
    <w:basedOn w:val="a0"/>
    <w:uiPriority w:val="99"/>
    <w:semiHidden/>
    <w:rsid w:val="00FF16CE"/>
    <w:rPr>
      <w:color w:val="808080"/>
    </w:rPr>
  </w:style>
  <w:style w:type="paragraph" w:styleId="a8">
    <w:name w:val="List Paragraph"/>
    <w:basedOn w:val="a"/>
    <w:uiPriority w:val="34"/>
    <w:qFormat/>
    <w:rsid w:val="00401FE0"/>
    <w:pPr>
      <w:ind w:firstLineChars="200" w:firstLine="420"/>
    </w:pPr>
  </w:style>
  <w:style w:type="paragraph" w:styleId="a9">
    <w:name w:val="Date"/>
    <w:basedOn w:val="a"/>
    <w:next w:val="a"/>
    <w:link w:val="aa"/>
    <w:uiPriority w:val="99"/>
    <w:semiHidden/>
    <w:unhideWhenUsed/>
    <w:rsid w:val="00692CC8"/>
    <w:pPr>
      <w:ind w:leftChars="2500" w:left="100"/>
    </w:pPr>
  </w:style>
  <w:style w:type="character" w:customStyle="1" w:styleId="aa">
    <w:name w:val="日期 字符"/>
    <w:basedOn w:val="a0"/>
    <w:link w:val="a9"/>
    <w:uiPriority w:val="99"/>
    <w:semiHidden/>
    <w:rsid w:val="00692CC8"/>
  </w:style>
  <w:style w:type="table" w:customStyle="1" w:styleId="ab">
    <w:name w:val="三线表"/>
    <w:basedOn w:val="a1"/>
    <w:uiPriority w:val="99"/>
    <w:rsid w:val="006D1D72"/>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5206">
      <w:bodyDiv w:val="1"/>
      <w:marLeft w:val="0"/>
      <w:marRight w:val="0"/>
      <w:marTop w:val="0"/>
      <w:marBottom w:val="0"/>
      <w:divBdr>
        <w:top w:val="none" w:sz="0" w:space="0" w:color="auto"/>
        <w:left w:val="none" w:sz="0" w:space="0" w:color="auto"/>
        <w:bottom w:val="none" w:sz="0" w:space="0" w:color="auto"/>
        <w:right w:val="none" w:sz="0" w:space="0" w:color="auto"/>
      </w:divBdr>
    </w:div>
    <w:div w:id="164367605">
      <w:bodyDiv w:val="1"/>
      <w:marLeft w:val="0"/>
      <w:marRight w:val="0"/>
      <w:marTop w:val="0"/>
      <w:marBottom w:val="0"/>
      <w:divBdr>
        <w:top w:val="none" w:sz="0" w:space="0" w:color="auto"/>
        <w:left w:val="none" w:sz="0" w:space="0" w:color="auto"/>
        <w:bottom w:val="none" w:sz="0" w:space="0" w:color="auto"/>
        <w:right w:val="none" w:sz="0" w:space="0" w:color="auto"/>
      </w:divBdr>
    </w:div>
    <w:div w:id="223875621">
      <w:bodyDiv w:val="1"/>
      <w:marLeft w:val="0"/>
      <w:marRight w:val="0"/>
      <w:marTop w:val="0"/>
      <w:marBottom w:val="0"/>
      <w:divBdr>
        <w:top w:val="none" w:sz="0" w:space="0" w:color="auto"/>
        <w:left w:val="none" w:sz="0" w:space="0" w:color="auto"/>
        <w:bottom w:val="none" w:sz="0" w:space="0" w:color="auto"/>
        <w:right w:val="none" w:sz="0" w:space="0" w:color="auto"/>
      </w:divBdr>
    </w:div>
    <w:div w:id="321470158">
      <w:bodyDiv w:val="1"/>
      <w:marLeft w:val="0"/>
      <w:marRight w:val="0"/>
      <w:marTop w:val="0"/>
      <w:marBottom w:val="0"/>
      <w:divBdr>
        <w:top w:val="none" w:sz="0" w:space="0" w:color="auto"/>
        <w:left w:val="none" w:sz="0" w:space="0" w:color="auto"/>
        <w:bottom w:val="none" w:sz="0" w:space="0" w:color="auto"/>
        <w:right w:val="none" w:sz="0" w:space="0" w:color="auto"/>
      </w:divBdr>
    </w:div>
    <w:div w:id="360858929">
      <w:bodyDiv w:val="1"/>
      <w:marLeft w:val="0"/>
      <w:marRight w:val="0"/>
      <w:marTop w:val="0"/>
      <w:marBottom w:val="0"/>
      <w:divBdr>
        <w:top w:val="none" w:sz="0" w:space="0" w:color="auto"/>
        <w:left w:val="none" w:sz="0" w:space="0" w:color="auto"/>
        <w:bottom w:val="none" w:sz="0" w:space="0" w:color="auto"/>
        <w:right w:val="none" w:sz="0" w:space="0" w:color="auto"/>
      </w:divBdr>
    </w:div>
    <w:div w:id="381373199">
      <w:bodyDiv w:val="1"/>
      <w:marLeft w:val="0"/>
      <w:marRight w:val="0"/>
      <w:marTop w:val="0"/>
      <w:marBottom w:val="0"/>
      <w:divBdr>
        <w:top w:val="none" w:sz="0" w:space="0" w:color="auto"/>
        <w:left w:val="none" w:sz="0" w:space="0" w:color="auto"/>
        <w:bottom w:val="none" w:sz="0" w:space="0" w:color="auto"/>
        <w:right w:val="none" w:sz="0" w:space="0" w:color="auto"/>
      </w:divBdr>
    </w:div>
    <w:div w:id="464007878">
      <w:bodyDiv w:val="1"/>
      <w:marLeft w:val="0"/>
      <w:marRight w:val="0"/>
      <w:marTop w:val="0"/>
      <w:marBottom w:val="0"/>
      <w:divBdr>
        <w:top w:val="none" w:sz="0" w:space="0" w:color="auto"/>
        <w:left w:val="none" w:sz="0" w:space="0" w:color="auto"/>
        <w:bottom w:val="none" w:sz="0" w:space="0" w:color="auto"/>
        <w:right w:val="none" w:sz="0" w:space="0" w:color="auto"/>
      </w:divBdr>
    </w:div>
    <w:div w:id="720444792">
      <w:bodyDiv w:val="1"/>
      <w:marLeft w:val="0"/>
      <w:marRight w:val="0"/>
      <w:marTop w:val="0"/>
      <w:marBottom w:val="0"/>
      <w:divBdr>
        <w:top w:val="none" w:sz="0" w:space="0" w:color="auto"/>
        <w:left w:val="none" w:sz="0" w:space="0" w:color="auto"/>
        <w:bottom w:val="none" w:sz="0" w:space="0" w:color="auto"/>
        <w:right w:val="none" w:sz="0" w:space="0" w:color="auto"/>
      </w:divBdr>
    </w:div>
    <w:div w:id="739016680">
      <w:bodyDiv w:val="1"/>
      <w:marLeft w:val="0"/>
      <w:marRight w:val="0"/>
      <w:marTop w:val="0"/>
      <w:marBottom w:val="0"/>
      <w:divBdr>
        <w:top w:val="none" w:sz="0" w:space="0" w:color="auto"/>
        <w:left w:val="none" w:sz="0" w:space="0" w:color="auto"/>
        <w:bottom w:val="none" w:sz="0" w:space="0" w:color="auto"/>
        <w:right w:val="none" w:sz="0" w:space="0" w:color="auto"/>
      </w:divBdr>
    </w:div>
    <w:div w:id="826096959">
      <w:bodyDiv w:val="1"/>
      <w:marLeft w:val="0"/>
      <w:marRight w:val="0"/>
      <w:marTop w:val="0"/>
      <w:marBottom w:val="0"/>
      <w:divBdr>
        <w:top w:val="none" w:sz="0" w:space="0" w:color="auto"/>
        <w:left w:val="none" w:sz="0" w:space="0" w:color="auto"/>
        <w:bottom w:val="none" w:sz="0" w:space="0" w:color="auto"/>
        <w:right w:val="none" w:sz="0" w:space="0" w:color="auto"/>
      </w:divBdr>
    </w:div>
    <w:div w:id="1007562153">
      <w:bodyDiv w:val="1"/>
      <w:marLeft w:val="0"/>
      <w:marRight w:val="0"/>
      <w:marTop w:val="0"/>
      <w:marBottom w:val="0"/>
      <w:divBdr>
        <w:top w:val="none" w:sz="0" w:space="0" w:color="auto"/>
        <w:left w:val="none" w:sz="0" w:space="0" w:color="auto"/>
        <w:bottom w:val="none" w:sz="0" w:space="0" w:color="auto"/>
        <w:right w:val="none" w:sz="0" w:space="0" w:color="auto"/>
      </w:divBdr>
    </w:div>
    <w:div w:id="1017386998">
      <w:bodyDiv w:val="1"/>
      <w:marLeft w:val="0"/>
      <w:marRight w:val="0"/>
      <w:marTop w:val="0"/>
      <w:marBottom w:val="0"/>
      <w:divBdr>
        <w:top w:val="none" w:sz="0" w:space="0" w:color="auto"/>
        <w:left w:val="none" w:sz="0" w:space="0" w:color="auto"/>
        <w:bottom w:val="none" w:sz="0" w:space="0" w:color="auto"/>
        <w:right w:val="none" w:sz="0" w:space="0" w:color="auto"/>
      </w:divBdr>
    </w:div>
    <w:div w:id="1215048310">
      <w:bodyDiv w:val="1"/>
      <w:marLeft w:val="0"/>
      <w:marRight w:val="0"/>
      <w:marTop w:val="0"/>
      <w:marBottom w:val="0"/>
      <w:divBdr>
        <w:top w:val="none" w:sz="0" w:space="0" w:color="auto"/>
        <w:left w:val="none" w:sz="0" w:space="0" w:color="auto"/>
        <w:bottom w:val="none" w:sz="0" w:space="0" w:color="auto"/>
        <w:right w:val="none" w:sz="0" w:space="0" w:color="auto"/>
      </w:divBdr>
    </w:div>
    <w:div w:id="1433284597">
      <w:bodyDiv w:val="1"/>
      <w:marLeft w:val="0"/>
      <w:marRight w:val="0"/>
      <w:marTop w:val="0"/>
      <w:marBottom w:val="0"/>
      <w:divBdr>
        <w:top w:val="none" w:sz="0" w:space="0" w:color="auto"/>
        <w:left w:val="none" w:sz="0" w:space="0" w:color="auto"/>
        <w:bottom w:val="none" w:sz="0" w:space="0" w:color="auto"/>
        <w:right w:val="none" w:sz="0" w:space="0" w:color="auto"/>
      </w:divBdr>
    </w:div>
    <w:div w:id="1645545807">
      <w:bodyDiv w:val="1"/>
      <w:marLeft w:val="0"/>
      <w:marRight w:val="0"/>
      <w:marTop w:val="0"/>
      <w:marBottom w:val="0"/>
      <w:divBdr>
        <w:top w:val="none" w:sz="0" w:space="0" w:color="auto"/>
        <w:left w:val="none" w:sz="0" w:space="0" w:color="auto"/>
        <w:bottom w:val="none" w:sz="0" w:space="0" w:color="auto"/>
        <w:right w:val="none" w:sz="0" w:space="0" w:color="auto"/>
      </w:divBdr>
    </w:div>
    <w:div w:id="1679775492">
      <w:bodyDiv w:val="1"/>
      <w:marLeft w:val="0"/>
      <w:marRight w:val="0"/>
      <w:marTop w:val="0"/>
      <w:marBottom w:val="0"/>
      <w:divBdr>
        <w:top w:val="none" w:sz="0" w:space="0" w:color="auto"/>
        <w:left w:val="none" w:sz="0" w:space="0" w:color="auto"/>
        <w:bottom w:val="none" w:sz="0" w:space="0" w:color="auto"/>
        <w:right w:val="none" w:sz="0" w:space="0" w:color="auto"/>
      </w:divBdr>
    </w:div>
    <w:div w:id="207508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wmf"/><Relationship Id="rId21" Type="http://schemas.openxmlformats.org/officeDocument/2006/relationships/image" Target="media/image11.wmf"/><Relationship Id="rId34" Type="http://schemas.openxmlformats.org/officeDocument/2006/relationships/image" Target="media/image17.wmf"/><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chart" Target="charts/chart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5.wmf"/><Relationship Id="rId11" Type="http://schemas.openxmlformats.org/officeDocument/2006/relationships/image" Target="media/image5.jpeg"/><Relationship Id="rId24" Type="http://schemas.openxmlformats.org/officeDocument/2006/relationships/oleObject" Target="embeddings/oleObject6.bin"/><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emf"/><Relationship Id="rId58" Type="http://schemas.openxmlformats.org/officeDocument/2006/relationships/image" Target="media/image29.png"/><Relationship Id="rId5"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image" Target="media/image28.JPG"/><Relationship Id="rId8" Type="http://schemas.openxmlformats.org/officeDocument/2006/relationships/image" Target="media/image2.png"/><Relationship Id="rId51" Type="http://schemas.openxmlformats.org/officeDocument/2006/relationships/chart" Target="charts/chart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image" Target="media/image20.wmf"/><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image" Target="media/image24.wmf"/><Relationship Id="rId57" Type="http://schemas.microsoft.com/office/2014/relationships/chartEx" Target="charts/chartEx1.xml"/><Relationship Id="rId10" Type="http://schemas.openxmlformats.org/officeDocument/2006/relationships/image" Target="media/image4.jpe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25.jpg"/><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352;&#23376;&#25196;\Desktop\&#30456;&#20851;&#24615;&#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36164;&#26009;\&#20854;&#20182;\&#25968;&#23398;&#24314;&#27169;\&#30005;&#24037;&#26479;\&#32676;&#20869;&#36164;&#26009;\&#20225;&#19994;&#39118;&#38505;&#35780;&#20272;.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23398;&#20064;&#36164;&#26009;\&#20854;&#20182;\&#25968;&#23398;&#24314;&#27169;\&#30005;&#24037;&#26479;\&#35770;&#25991;\&#31532;&#20116;&#38382;\&#20225;&#19994;&#20449;&#2468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Sheet1!$A$2:$A$14</c:f>
              <c:strCache>
                <c:ptCount val="13"/>
                <c:pt idx="0">
                  <c:v>2019.4-5</c:v>
                </c:pt>
                <c:pt idx="1">
                  <c:v>2019.6-7</c:v>
                </c:pt>
                <c:pt idx="2">
                  <c:v>2019.8-9</c:v>
                </c:pt>
                <c:pt idx="3">
                  <c:v>2019.10-11</c:v>
                </c:pt>
                <c:pt idx="4">
                  <c:v>2019.12-2020.1</c:v>
                </c:pt>
                <c:pt idx="5">
                  <c:v>2020.2-3</c:v>
                </c:pt>
                <c:pt idx="6">
                  <c:v>2020.4-5</c:v>
                </c:pt>
                <c:pt idx="7">
                  <c:v>2020.6-7</c:v>
                </c:pt>
                <c:pt idx="8">
                  <c:v>2020.8-9</c:v>
                </c:pt>
                <c:pt idx="9">
                  <c:v>2020.10-11</c:v>
                </c:pt>
                <c:pt idx="10">
                  <c:v>2020.12-2021.1</c:v>
                </c:pt>
                <c:pt idx="11">
                  <c:v>2021.2-3</c:v>
                </c:pt>
                <c:pt idx="12">
                  <c:v>2021.4-5</c:v>
                </c:pt>
              </c:strCache>
            </c:strRef>
          </c:cat>
          <c:val>
            <c:numRef>
              <c:f>Sheet1!$B$2:$B$14</c:f>
              <c:numCache>
                <c:formatCode>0.0000_ </c:formatCode>
                <c:ptCount val="13"/>
                <c:pt idx="0">
                  <c:v>0.31040000000000001</c:v>
                </c:pt>
                <c:pt idx="1">
                  <c:v>0.7248</c:v>
                </c:pt>
                <c:pt idx="2">
                  <c:v>0.96919999999999995</c:v>
                </c:pt>
                <c:pt idx="3">
                  <c:v>0.75390000000000001</c:v>
                </c:pt>
                <c:pt idx="4">
                  <c:v>0.88180000000000003</c:v>
                </c:pt>
                <c:pt idx="5">
                  <c:v>0.97099999999999997</c:v>
                </c:pt>
                <c:pt idx="6">
                  <c:v>0.90949999999999998</c:v>
                </c:pt>
                <c:pt idx="7">
                  <c:v>0.90669999999999995</c:v>
                </c:pt>
                <c:pt idx="8">
                  <c:v>-0.39119999999999999</c:v>
                </c:pt>
                <c:pt idx="9">
                  <c:v>-1.5299999999999999E-2</c:v>
                </c:pt>
                <c:pt idx="10">
                  <c:v>0.81179999999999997</c:v>
                </c:pt>
                <c:pt idx="11">
                  <c:v>0.87629999999999997</c:v>
                </c:pt>
                <c:pt idx="12">
                  <c:v>0.67469999999999997</c:v>
                </c:pt>
              </c:numCache>
            </c:numRef>
          </c:val>
          <c:extLst>
            <c:ext xmlns:c16="http://schemas.microsoft.com/office/drawing/2014/chart" uri="{C3380CC4-5D6E-409C-BE32-E72D297353CC}">
              <c16:uniqueId val="{00000000-9E8B-4DB8-A3A6-15E0D8376DAF}"/>
            </c:ext>
          </c:extLst>
        </c:ser>
        <c:dLbls>
          <c:showLegendKey val="0"/>
          <c:showVal val="0"/>
          <c:showCatName val="0"/>
          <c:showSerName val="0"/>
          <c:showPercent val="0"/>
          <c:showBubbleSize val="0"/>
        </c:dLbls>
        <c:gapWidth val="219"/>
        <c:overlap val="-27"/>
        <c:axId val="465413408"/>
        <c:axId val="465403008"/>
      </c:barChart>
      <c:catAx>
        <c:axId val="4654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403008"/>
        <c:crosses val="autoZero"/>
        <c:auto val="1"/>
        <c:lblAlgn val="ctr"/>
        <c:lblOffset val="100"/>
        <c:noMultiLvlLbl val="0"/>
      </c:catAx>
      <c:valAx>
        <c:axId val="46540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相关系数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41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37</a:t>
            </a:r>
            <a:r>
              <a:rPr lang="zh-CN" altLang="en-US"/>
              <a:t>支股票风险评估分数</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val>
            <c:numRef>
              <c:f>Sheet1!$B$2:$B$38</c:f>
              <c:numCache>
                <c:formatCode>General</c:formatCode>
                <c:ptCount val="37"/>
                <c:pt idx="0">
                  <c:v>71</c:v>
                </c:pt>
                <c:pt idx="1">
                  <c:v>49</c:v>
                </c:pt>
                <c:pt idx="2">
                  <c:v>29</c:v>
                </c:pt>
                <c:pt idx="3">
                  <c:v>30</c:v>
                </c:pt>
                <c:pt idx="4">
                  <c:v>60</c:v>
                </c:pt>
                <c:pt idx="5">
                  <c:v>38</c:v>
                </c:pt>
                <c:pt idx="6">
                  <c:v>36</c:v>
                </c:pt>
                <c:pt idx="7">
                  <c:v>39</c:v>
                </c:pt>
                <c:pt idx="8">
                  <c:v>43</c:v>
                </c:pt>
                <c:pt idx="9">
                  <c:v>44</c:v>
                </c:pt>
                <c:pt idx="10">
                  <c:v>56</c:v>
                </c:pt>
                <c:pt idx="11">
                  <c:v>27</c:v>
                </c:pt>
                <c:pt idx="12">
                  <c:v>33</c:v>
                </c:pt>
                <c:pt idx="13">
                  <c:v>48</c:v>
                </c:pt>
                <c:pt idx="14">
                  <c:v>49</c:v>
                </c:pt>
                <c:pt idx="15">
                  <c:v>38</c:v>
                </c:pt>
                <c:pt idx="16">
                  <c:v>47</c:v>
                </c:pt>
                <c:pt idx="17">
                  <c:v>32</c:v>
                </c:pt>
                <c:pt idx="18">
                  <c:v>51</c:v>
                </c:pt>
                <c:pt idx="19">
                  <c:v>47</c:v>
                </c:pt>
                <c:pt idx="20">
                  <c:v>47</c:v>
                </c:pt>
                <c:pt idx="21">
                  <c:v>48</c:v>
                </c:pt>
                <c:pt idx="22">
                  <c:v>55</c:v>
                </c:pt>
                <c:pt idx="23">
                  <c:v>52</c:v>
                </c:pt>
                <c:pt idx="24">
                  <c:v>50</c:v>
                </c:pt>
                <c:pt idx="25">
                  <c:v>22</c:v>
                </c:pt>
                <c:pt idx="26">
                  <c:v>40</c:v>
                </c:pt>
                <c:pt idx="27">
                  <c:v>39</c:v>
                </c:pt>
                <c:pt idx="28">
                  <c:v>52</c:v>
                </c:pt>
                <c:pt idx="29">
                  <c:v>68</c:v>
                </c:pt>
                <c:pt idx="30">
                  <c:v>46</c:v>
                </c:pt>
                <c:pt idx="31">
                  <c:v>21</c:v>
                </c:pt>
                <c:pt idx="32">
                  <c:v>44</c:v>
                </c:pt>
                <c:pt idx="33">
                  <c:v>32</c:v>
                </c:pt>
                <c:pt idx="34">
                  <c:v>37</c:v>
                </c:pt>
                <c:pt idx="35">
                  <c:v>44</c:v>
                </c:pt>
                <c:pt idx="36">
                  <c:v>37</c:v>
                </c:pt>
              </c:numCache>
            </c:numRef>
          </c:val>
          <c:extLst>
            <c:ext xmlns:c16="http://schemas.microsoft.com/office/drawing/2014/chart" uri="{C3380CC4-5D6E-409C-BE32-E72D297353CC}">
              <c16:uniqueId val="{00000000-DF07-422A-8959-BFE78C56855A}"/>
            </c:ext>
          </c:extLst>
        </c:ser>
        <c:dLbls>
          <c:showLegendKey val="0"/>
          <c:showVal val="0"/>
          <c:showCatName val="0"/>
          <c:showSerName val="0"/>
          <c:showPercent val="0"/>
          <c:showBubbleSize val="0"/>
        </c:dLbls>
        <c:gapWidth val="219"/>
        <c:overlap val="-27"/>
        <c:axId val="575564984"/>
        <c:axId val="575565624"/>
      </c:barChart>
      <c:catAx>
        <c:axId val="575564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565624"/>
        <c:crosses val="autoZero"/>
        <c:auto val="1"/>
        <c:lblAlgn val="ctr"/>
        <c:lblOffset val="100"/>
        <c:noMultiLvlLbl val="0"/>
      </c:catAx>
      <c:valAx>
        <c:axId val="575565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564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Sheet1!$D$2:$E$7</cx:f>
        <cx:lvl ptCount="6">
          <cx:pt idx="0">发电</cx:pt>
          <cx:pt idx="1">电子元器件</cx:pt>
          <cx:pt idx="2">建筑结构</cx:pt>
          <cx:pt idx="3"/>
          <cx:pt idx="4">建筑设计</cx:pt>
          <cx:pt idx="5">软件开发</cx:pt>
        </cx:lvl>
        <cx:lvl ptCount="6">
          <cx:pt idx="0">硬件</cx:pt>
          <cx:pt idx="1"/>
          <cx:pt idx="2"/>
          <cx:pt idx="3"/>
          <cx:pt idx="4">软件</cx:pt>
          <cx:pt idx="5"/>
        </cx:lvl>
      </cx:strDim>
      <cx:numDim type="size">
        <cx:f>Sheet1!$F$2:$F$7</cx:f>
        <cx:lvl ptCount="6" formatCode="G/通用格式">
          <cx:pt idx="0">11</cx:pt>
          <cx:pt idx="1">7</cx:pt>
          <cx:pt idx="2">13</cx:pt>
          <cx:pt idx="4">4</cx:pt>
          <cx:pt idx="5">2</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37</a:t>
            </a:r>
            <a:r>
              <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rPr>
              <a:t>家企业经营范围及比例</a:t>
            </a:r>
          </a:p>
        </cx:rich>
      </cx:tx>
    </cx:title>
    <cx:plotArea>
      <cx:plotAreaRegion>
        <cx:series layoutId="sunburst" uniqueId="{E7A7F243-9509-4950-BD21-EA4BA5D9B10D}">
          <cx:dataLabels pos="ctr">
            <cx:visibility seriesName="0" categoryName="1" value="0"/>
          </cx:dataLabels>
          <cx:dataId val="0"/>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2331</Words>
  <Characters>13291</Characters>
  <Application>Microsoft Office Word</Application>
  <DocSecurity>0</DocSecurity>
  <Lines>110</Lines>
  <Paragraphs>31</Paragraphs>
  <ScaleCrop>false</ScaleCrop>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xjh</dc:creator>
  <cp:keywords/>
  <dc:description/>
  <cp:lastModifiedBy>dell</cp:lastModifiedBy>
  <cp:revision>2</cp:revision>
  <dcterms:created xsi:type="dcterms:W3CDTF">2021-05-30T17:56:00Z</dcterms:created>
  <dcterms:modified xsi:type="dcterms:W3CDTF">2021-05-30T17:56:00Z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