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Arial Unicode MS" w:hAnsi="Arial Unicode MS" w:eastAsia="Arial Unicode MS"/>
        </w:rPr>
        <w:t>BF16 Attention</w:t>
        <w:br/>
        <w:t>前向优化路径报告</w:t>
      </w:r>
    </w:p>
    <w:p>
      <w:pPr>
        <w:pStyle w:val="Subtitle"/>
        <w:widowControl/>
      </w:pPr>
      <w:r>
        <w:rPr>
          <w:rFonts w:ascii="Arial Unicode MS" w:hAnsi="Arial Unicode MS" w:eastAsia="Arial Unicode MS"/>
        </w:rPr>
        <w:t>A100 上从可运行实现到接近 FlashAttention 的工程复盘</w:t>
      </w:r>
    </w:p>
    <w:p>
      <w:pPr>
        <w:widowControl/>
      </w:pPr>
      <w:r>
        <w:rPr>
          <w:rFonts w:ascii="Arial Unicode MS" w:hAnsi="Arial Unicode MS" w:eastAsia="Arial Unicode MS"/>
        </w:rPr>
        <w:t>记录范围  2026年10月7日至8日    项目  Tiny Transformer</w:t>
      </w:r>
    </w:p>
    <w:p>
      <w:pPr>
        <w:widowControl/>
      </w:pPr>
      <w:r>
        <w:rPr>
          <w:rFonts w:ascii="Arial Unicode MS" w:hAnsi="Arial Unicode MS" w:eastAsia="Arial Unicode MS"/>
        </w:rPr>
        <w:t>本轮优化围绕 BF16 causal attention 前向展开：先修复接口和边界错误，再用独立计时与 NCU 定位开销，逐步调整 tile、预取、寄存器预算、mask 和行内归约。最新用户报告的 prefill 耗时为 42.34 µs，同轮 SDPA 为 39.27 µs，差距收敛到 3.07 µs。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4"/>
              </w:rPr>
              <w:t>最新 student prefill</w:t>
            </w:r>
          </w:p>
        </w:tc>
        <w:tc>
          <w:tcPr>
            <w:tcW w:type="dxa" w:w="33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4"/>
              </w:rPr>
              <w:t>同轮 SDPA FlashAttention</w:t>
            </w:r>
          </w:p>
        </w:tc>
        <w:tc>
          <w:tcPr>
            <w:tcW w:type="dxa" w:w="33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4"/>
              </w:rPr>
              <w:t>剩余耗时差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4"/>
              </w:rPr>
              <w:t>42.34 µs</w:t>
            </w:r>
          </w:p>
        </w:tc>
        <w:tc>
          <w:tcPr>
            <w:tcW w:type="dxa" w:w="33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4"/>
              </w:rPr>
              <w:t>39.27 µs</w:t>
            </w:r>
          </w:p>
        </w:tc>
        <w:tc>
          <w:tcPr>
            <w:tcW w:type="dxa" w:w="33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4"/>
              </w:rPr>
              <w:t>3.07 µs</w:t>
            </w:r>
          </w:p>
        </w:tc>
      </w:tr>
    </w:tbl>
    <w:p>
      <w:pPr>
        <w:spacing w:line="20" w:lineRule="exact" w:after="80"/>
      </w:pPr>
      <w:r>
        <w:rPr>
          <w:rFonts w:ascii="Arial Unicode MS" w:hAnsi="Arial Unicode MS" w:eastAsia="Arial Unicode MS"/>
          <w:sz w:val="2"/>
        </w:rPr>
      </w:r>
    </w:p>
    <w:p>
      <w:pPr>
        <w:widowControl/>
      </w:pPr>
      <w:r>
        <w:rPr>
          <w:rFonts w:ascii="Arial Unicode MS" w:hAnsi="Arial Unicode MS" w:eastAsia="Arial Unicode MS"/>
        </w:rPr>
        <w:t>同轮速度比为 SDPA / student = 0.93×；student 的延迟仍高约 7.8%。初始 Graph 记录为 100.42 µs，后期沿用 Graph 语境的结果下降至 42.34 µs，端点参考性降幅约 57.8%。该端点比较不等于严格配对实验，测量证据分级见后文。</w:t>
      </w:r>
    </w:p>
    <w:p>
      <w:pPr>
        <w:keepNext/>
        <w:spacing w:after="60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6355080" cy="1082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ention_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08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rPr>
          <w:rFonts w:ascii="Arial Unicode MS" w:hAnsi="Arial Unicode MS" w:eastAsia="Arial Unicode MS"/>
        </w:rPr>
        <w:t>图 1 优化主线 先保证可比 再以实测选择取舍</w:t>
      </w:r>
    </w:p>
    <w:p>
      <w:pPr>
        <w:pStyle w:val="Heading2"/>
        <w:widowControl/>
      </w:pPr>
      <w:r>
        <w:rPr>
          <w:rFonts w:ascii="Arial Unicode MS" w:hAnsi="Arial Unicode MS" w:eastAsia="Arial Unicode MS"/>
        </w:rPr>
        <w:t>汇报应强调的三个结论</w:t>
      </w:r>
    </w:p>
    <w:p>
      <w:pPr>
        <w:pStyle w:val="ListBullet"/>
        <w:widowControl/>
        <w:spacing w:after="100"/>
      </w:pPr>
      <w:r>
        <w:rPr>
          <w:rFonts w:ascii="Arial Unicode MS" w:hAnsi="Arial Unicode MS" w:eastAsia="Arial Unicode MS"/>
        </w:rPr>
        <w:t>有效收益来自组合：数据搬运与同步优化建立基础，mask 和 int32 减少标量工作，最后的延迟归约与倒数复用再降低约 9.4% 的阶段耗时。</w:t>
      </w:r>
    </w:p>
    <w:p>
      <w:pPr>
        <w:pStyle w:val="ListBullet"/>
        <w:widowControl/>
        <w:spacing w:after="100"/>
      </w:pPr>
      <w:r>
        <w:rPr>
          <w:rFonts w:ascii="Arial Unicode MS" w:hAnsi="Arial Unicode MS" w:eastAsia="Arial Unicode MS"/>
        </w:rPr>
        <w:t>资源指标不是最终目标：更高 occupancy、零 spill、更高 sector 利用率，都不必然使 kernel 更快。</w:t>
      </w:r>
    </w:p>
    <w:p>
      <w:pPr>
        <w:pStyle w:val="ListBullet"/>
        <w:widowControl/>
        <w:spacing w:after="100"/>
      </w:pPr>
      <w:r>
        <w:rPr>
          <w:rFonts w:ascii="Arial Unicode MS" w:hAnsi="Arial Unicode MS" w:eastAsia="Arial Unicode MS"/>
        </w:rPr>
        <w:t>已有反例并及时回退：更紧的 launch bounds、shared-memory 输出重排均未获得净收益；base-2 单独实验没有明显收益。</w:t>
      </w:r>
    </w:p>
    <w:p>
      <w:pPr>
        <w:pStyle w:val="Caption"/>
        <w:widowControl/>
      </w:pPr>
      <w:r>
        <w:rPr>
          <w:rFonts w:ascii="Arial Unicode MS" w:hAnsi="Arial Unicode MS" w:eastAsia="Arial Unicode MS"/>
        </w:rPr>
        <w:t>测量场景：A100 80GB PCIe；BF16；B=8、H=12、D=64；prefill Tq=Tk=512；20 次预热、每轮 100 次调用、5 轮采样。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  <w:widowControl/>
      </w:pPr>
      <w:r>
        <w:rPr>
          <w:rFonts w:ascii="Arial Unicode MS" w:hAnsi="Arial Unicode MS" w:eastAsia="Arial Unicode MS"/>
        </w:rPr>
        <w:t>GPU 执行路径的性能演进</w:t>
      </w:r>
    </w:p>
    <w:p>
      <w:pPr>
        <w:widowControl/>
      </w:pPr>
      <w:r>
        <w:rPr>
          <w:rFonts w:ascii="Arial Unicode MS" w:hAnsi="Arial Unicode MS" w:eastAsia="Arial Unicode MS"/>
        </w:rPr>
        <w:t>下图只列 Graph 或沿用 Graph 语境的记录。灰色为同轮 SDPA，青色为 student；标注“回退”的候选未进入保留路径。图中跳过的 operator 阶段另列下一页，因此相邻条目不能全部解释为单一改动的收益。</w:t>
      </w:r>
    </w:p>
    <w:p>
      <w:pPr>
        <w:keepNext/>
        <w:spacing w:after="60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6355080" cy="4062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ention_graph_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06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rPr>
          <w:rFonts w:ascii="Arial Unicode MS" w:hAnsi="Arial Unicode MS" w:eastAsia="Arial Unicode MS"/>
        </w:rPr>
        <w:t>图 2 Graph 口径的观测序列  G07 至 G09 带星号表示完整命令未附在结果片段中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6"/>
        <w:gridCol w:w="3240"/>
        <w:gridCol w:w="2376"/>
      </w:tblGrid>
      <w:tr>
        <w:trPr>
          <w:cantSplit/>
          <w:tblHeader/>
        </w:trPr>
        <w:tc>
          <w:tcPr>
            <w:tcW w:type="dxa" w:w="453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对照</w:t>
            </w:r>
          </w:p>
        </w:tc>
        <w:tc>
          <w:tcPr>
            <w:tcW w:type="dxa" w:w="32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变化</w:t>
            </w:r>
          </w:p>
        </w:tc>
        <w:tc>
          <w:tcPr>
            <w:tcW w:type="dxa" w:w="237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9"/>
              </w:rPr>
              <w:t>G03 → G04 驻留目标 4 → 5</w:t>
            </w:r>
          </w:p>
        </w:tc>
        <w:tc>
          <w:tcPr>
            <w:tcW w:type="dxa" w:w="32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9"/>
              </w:rPr>
              <w:t>50.61 → 53.16 µs  +5.0%</w:t>
            </w:r>
          </w:p>
        </w:tc>
        <w:tc>
          <w:tcPr>
            <w:tcW w:type="dxa" w:w="237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9"/>
              </w:rPr>
              <w:t>退回目标 4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9"/>
              </w:rPr>
              <w:t>G03 → G05 base-2</w:t>
            </w:r>
          </w:p>
        </w:tc>
        <w:tc>
          <w:tcPr>
            <w:tcW w:type="dxa" w:w="32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9"/>
              </w:rPr>
              <w:t>50.61 → 51.11 µs  +1.0%</w:t>
            </w:r>
          </w:p>
        </w:tc>
        <w:tc>
          <w:tcPr>
            <w:tcW w:type="dxa" w:w="237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9"/>
              </w:rPr>
              <w:t>未测出明显收益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9"/>
              </w:rPr>
              <w:t>G05 → G06 int32</w:t>
            </w:r>
          </w:p>
        </w:tc>
        <w:tc>
          <w:tcPr>
            <w:tcW w:type="dxa" w:w="32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9"/>
              </w:rPr>
              <w:t>51.11 → 48.71 µs  -4.7%</w:t>
            </w:r>
          </w:p>
        </w:tc>
        <w:tc>
          <w:tcPr>
            <w:tcW w:type="dxa" w:w="237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9"/>
              </w:rPr>
              <w:t>保留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9"/>
              </w:rPr>
              <w:t>G07 → G09 归约与倒数组合</w:t>
            </w:r>
          </w:p>
        </w:tc>
        <w:tc>
          <w:tcPr>
            <w:tcW w:type="dxa" w:w="32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9"/>
              </w:rPr>
              <w:t>46.73 → 42.34 µs  -9.4%</w:t>
            </w:r>
          </w:p>
        </w:tc>
        <w:tc>
          <w:tcPr>
            <w:tcW w:type="dxa" w:w="237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9"/>
              </w:rPr>
              <w:t>最新已测保留版本</w:t>
            </w:r>
          </w:p>
        </w:tc>
      </w:tr>
    </w:tbl>
    <w:p>
      <w:pPr>
        <w:spacing w:line="20" w:lineRule="exact" w:after="80"/>
      </w:pPr>
      <w:r>
        <w:rPr>
          <w:rFonts w:ascii="Arial Unicode MS" w:hAnsi="Arial Unicode MS" w:eastAsia="Arial Unicode MS"/>
          <w:sz w:val="2"/>
        </w:rPr>
      </w:r>
    </w:p>
    <w:p>
      <w:pPr>
        <w:widowControl/>
      </w:pPr>
      <w:r>
        <w:rPr>
          <w:rFonts w:ascii="Arial Unicode MS" w:hAnsi="Arial Unicode MS" w:eastAsia="Arial Unicode MS"/>
        </w:rPr>
        <w:t>证据边界：G07、G08、G09 沿用此前 Graph 测试上下文，但用户贴出的片段只有结果行，没有完整 CLI。本文保留这些结果并明确标记；不据此宣称所有中间改动都被严格隔离，亦不提供缺失的置信区间。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  <w:widowControl/>
      </w:pPr>
      <w:r>
        <w:rPr>
          <w:rFonts w:ascii="Arial Unicode MS" w:hAnsi="Arial Unicode MS" w:eastAsia="Arial Unicode MS"/>
        </w:rPr>
        <w:t>完整算子口径与 decode 改善</w:t>
      </w:r>
    </w:p>
    <w:p>
      <w:pPr>
        <w:widowControl/>
      </w:pPr>
      <w:r>
        <w:rPr>
          <w:rFonts w:ascii="Arial Unicode MS" w:hAnsi="Arial Unicode MS" w:eastAsia="Arial Unicode MS"/>
        </w:rPr>
        <w:t>operator 计时包含完整 eager 调用，可能包含 CPU 提交造成的 GPU 间隙；它适合回答“调用一次算子需要多久”。下图五条记录均来自未挂 NCU 的 operator 日志。</w:t>
      </w:r>
    </w:p>
    <w:p>
      <w:pPr>
        <w:keepNext/>
        <w:spacing w:after="60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6355080" cy="21795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ention_operator_p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179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rPr>
          <w:rFonts w:ascii="Arial Unicode MS" w:hAnsi="Arial Unicode MS" w:eastAsia="Arial Unicode MS"/>
        </w:rPr>
        <w:t>图 3 Operator 路径  预取与 CTA 改动的收益不能拆成独立百分比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6"/>
        <w:gridCol w:w="2232"/>
        <w:gridCol w:w="4464"/>
      </w:tblGrid>
      <w:tr>
        <w:trPr>
          <w:cantSplit/>
          <w:tblHeader/>
        </w:trPr>
        <w:tc>
          <w:tcPr>
            <w:tcW w:type="dxa" w:w="345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阶段对照</w:t>
            </w:r>
          </w:p>
        </w:tc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student 延迟下降</w:t>
            </w:r>
          </w:p>
        </w:tc>
        <w:tc>
          <w:tcPr>
            <w:tcW w:type="dxa" w:w="44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O02 → O03</w:t>
            </w:r>
          </w:p>
        </w:tc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29.5%</w:t>
            </w:r>
          </w:p>
        </w:tc>
        <w:tc>
          <w:tcPr>
            <w:tcW w:type="dxa" w:w="44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预取 CTA 与 fragment 相关组合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O03 → O04</w:t>
            </w:r>
          </w:p>
        </w:tc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10.1%</w:t>
            </w:r>
          </w:p>
        </w:tc>
        <w:tc>
          <w:tcPr>
            <w:tcW w:type="dxa" w:w="44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mask fast path 阶段  版本归因有保留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O04 → O05</w:t>
            </w:r>
          </w:p>
        </w:tc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6.9%</w:t>
            </w:r>
          </w:p>
        </w:tc>
        <w:tc>
          <w:tcPr>
            <w:tcW w:type="dxa" w:w="44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BK 从 32 增至 64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O05 → O06</w:t>
            </w:r>
          </w:p>
        </w:tc>
        <w:tc>
          <w:tcPr>
            <w:tcW w:type="dxa" w:w="223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11.1%</w:t>
            </w:r>
          </w:p>
        </w:tc>
        <w:tc>
          <w:tcPr>
            <w:tcW w:type="dxa" w:w="44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launch bounds 的驻留目标设为 4</w:t>
            </w:r>
          </w:p>
        </w:tc>
      </w:tr>
    </w:tbl>
    <w:p>
      <w:pPr>
        <w:spacing w:line="20" w:lineRule="exact" w:after="80"/>
      </w:pPr>
      <w:r>
        <w:rPr>
          <w:rFonts w:ascii="Arial Unicode MS" w:hAnsi="Arial Unicode MS" w:eastAsia="Arial Unicode MS"/>
          <w:sz w:val="2"/>
        </w:rPr>
      </w:r>
    </w:p>
    <w:p>
      <w:pPr>
        <w:pStyle w:val="Heading2"/>
        <w:widowControl/>
      </w:pPr>
      <w:r>
        <w:rPr>
          <w:rFonts w:ascii="Arial Unicode MS" w:hAnsi="Arial Unicode MS" w:eastAsia="Arial Unicode MS"/>
        </w:rPr>
        <w:t>单 token decode 采用独立执行路径</w:t>
      </w:r>
    </w:p>
    <w:p>
      <w:pPr>
        <w:keepNext/>
        <w:spacing w:after="60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6355080" cy="12380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ention_decode_pa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23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rPr>
          <w:rFonts w:ascii="Arial Unicode MS" w:hAnsi="Arial Unicode MS" w:eastAsia="Arial Unicode MS"/>
        </w:rPr>
        <w:t>图 4 Decode 的 Graph 对照  Tq=1 Tk=512</w:t>
      </w:r>
    </w:p>
    <w:p>
      <w:pPr>
        <w:widowControl/>
      </w:pPr>
      <w:r>
        <w:rPr>
          <w:rFonts w:ascii="Arial Unicode MS" w:hAnsi="Arial Unicode MS" w:eastAsia="Arial Unicode MS"/>
        </w:rPr>
        <w:t>通用 kernel 为 1 个 query 仍执行 64 行 tile。专用路径按 128 个 key 分块并用 FP32 合并 softmax，Graph 从 34.06 降至 12.73 µs，快 2.68 倍，同轮达到 SDPA 的 1.21× 速度。适用范围为 Tq=1、Tk≤4096，不计入 prefill 收益。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  <w:widowControl/>
      </w:pPr>
      <w:r>
        <w:rPr>
          <w:rFonts w:ascii="Arial Unicode MS" w:hAnsi="Arial Unicode MS" w:eastAsia="Arial Unicode MS"/>
        </w:rPr>
        <w:t>Tile 与流水线如何演化</w:t>
      </w:r>
    </w:p>
    <w:p>
      <w:pPr>
        <w:widowControl/>
      </w:pPr>
      <w:r>
        <w:rPr>
          <w:rFonts w:ascii="Arial Unicode MS" w:hAnsi="Arial Unicode MS" w:eastAsia="Arial Unicode MS"/>
        </w:rPr>
        <w:t>最终保留的主线遵循 Q 整块保留在 shared memory、P 和 O 在寄存器的设计。K/V 从特征 subtile 发展到完整 head-dimension tile，以更多共享内存换取较少的阶段切换。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608"/>
        <w:gridCol w:w="1800"/>
        <w:gridCol w:w="194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配置阶段</w:t>
            </w:r>
          </w:p>
        </w:tc>
        <w:tc>
          <w:tcPr>
            <w:tcW w:type="dxa" w:w="460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Q 与 KV 存储</w:t>
            </w:r>
          </w:p>
        </w:tc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共享内存每 CTA</w:t>
            </w:r>
          </w:p>
        </w:tc>
        <w:tc>
          <w:tcPr>
            <w:tcW w:type="dxa" w:w="194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初始模板</w:t>
            </w:r>
          </w:p>
        </w:tc>
        <w:tc>
          <w:tcPr>
            <w:tcW w:type="dxa" w:w="460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Q 8 KiB  P 8 KiB</w:t>
              <w:br/>
              <w:t>K 与 V 各两份完整 tile</w:t>
            </w:r>
          </w:p>
        </w:tc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48 KiB</w:t>
            </w:r>
          </w:p>
        </w:tc>
        <w:tc>
          <w:tcPr>
            <w:tcW w:type="dxa" w:w="194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正确性起点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Q 常驻寄存器候选</w:t>
            </w:r>
          </w:p>
        </w:tc>
        <w:tc>
          <w:tcPr>
            <w:tcW w:type="dxa" w:w="460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Q 借用 V 缓冲后进入寄存器</w:t>
              <w:br/>
              <w:t>P 改为寄存器转换</w:t>
            </w:r>
          </w:p>
        </w:tc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32 KiB</w:t>
            </w:r>
          </w:p>
        </w:tc>
        <w:tc>
          <w:tcPr>
            <w:tcW w:type="dxa" w:w="194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未单独验证收益 后续放弃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BK32 BH32</w:t>
            </w:r>
          </w:p>
        </w:tc>
        <w:tc>
          <w:tcPr>
            <w:tcW w:type="dxa" w:w="460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Q 8 KiB</w:t>
              <w:br/>
              <w:t>两个 K/V union stage 各 2 KiB</w:t>
            </w:r>
          </w:p>
        </w:tc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12 KiB</w:t>
            </w:r>
          </w:p>
        </w:tc>
        <w:tc>
          <w:tcPr>
            <w:tcW w:type="dxa" w:w="194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资源压缩探索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BK64 BH32</w:t>
            </w:r>
          </w:p>
        </w:tc>
        <w:tc>
          <w:tcPr>
            <w:tcW w:type="dxa" w:w="460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Q 8 KiB</w:t>
              <w:br/>
              <w:t>两个 union stage 各 4 KiB</w:t>
            </w:r>
          </w:p>
        </w:tc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16 KiB</w:t>
            </w:r>
          </w:p>
        </w:tc>
        <w:tc>
          <w:tcPr>
            <w:tcW w:type="dxa" w:w="194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减少 KV 迭代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BK64 BH64</w:t>
            </w:r>
          </w:p>
        </w:tc>
        <w:tc>
          <w:tcPr>
            <w:tcW w:type="dxa" w:w="460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Q 8 KiB  K 8 KiB  V 8 KiB</w:t>
              <w:br/>
              <w:t>K/V 两个完整 slot</w:t>
            </w:r>
          </w:p>
        </w:tc>
        <w:tc>
          <w:tcPr>
            <w:tcW w:type="dxa" w:w="180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24 KiB</w:t>
            </w:r>
          </w:p>
        </w:tc>
        <w:tc>
          <w:tcPr>
            <w:tcW w:type="dxa" w:w="194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最终已测布局</w:t>
            </w:r>
          </w:p>
        </w:tc>
      </w:tr>
    </w:tbl>
    <w:p>
      <w:pPr>
        <w:spacing w:line="20" w:lineRule="exact" w:after="80"/>
      </w:pPr>
      <w:r>
        <w:rPr>
          <w:rFonts w:ascii="Arial Unicode MS" w:hAnsi="Arial Unicode MS" w:eastAsia="Arial Unicode MS"/>
          <w:sz w:val="2"/>
        </w:rPr>
      </w:r>
    </w:p>
    <w:p>
      <w:pPr>
        <w:keepNext/>
        <w:spacing w:after="60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6355080" cy="22595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ention_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25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</w:pPr>
      <w:r>
        <w:rPr>
          <w:rFonts w:ascii="Arial Unicode MS" w:hAnsi="Arial Unicode MS" w:eastAsia="Arial Unicode MS"/>
        </w:rPr>
        <w:t>图 5 以更大的特征 tile 减少同步切换</w:t>
      </w:r>
    </w:p>
    <w:p>
      <w:pPr>
        <w:widowControl/>
      </w:pPr>
      <w:r>
        <w:rPr>
          <w:rFonts w:ascii="Arial Unicode MS" w:hAnsi="Arial Unicode MS" w:eastAsia="Arial Unicode MS"/>
        </w:rPr>
        <w:t>BK=32→64 时，T=512 每个 head 的 KV tile 处理总数从 72 降到 36。BH=32→64 时，去掉 DH 方向的两段循环；每个 CTA 处理 N 个 KV 块的同步总数从 4N 降到 2N，含 prologue 和最后一轮收尾。S/P/O 的大小在 BH 变化时不变，但 PV 临时 B fragment 会增大。</w:t>
      </w:r>
    </w:p>
    <w:p>
      <w:pPr>
        <w:widowControl/>
      </w:pPr>
      <w:r>
        <w:rPr>
          <w:rFonts w:ascii="Arial Unicode MS" w:hAnsi="Arial Unicode MS" w:eastAsia="Arial Unicode MS"/>
        </w:rPr>
        <w:t>K/V 行宽改变时必须同步修改 swizzle。32-BF16 行最终使用 Swizzle&lt;2,3,3&gt;，64-BF16 行使用 Swizzle&lt;3,3,3&gt;。错误的 Swizzle&lt;2,3,2&gt; 保持了数值布局可逆性，却让相隔四行的片段发生 bank 冲突。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  <w:widowControl/>
      </w:pPr>
      <w:r>
        <w:rPr>
          <w:rFonts w:ascii="Arial Unicode MS" w:hAnsi="Arial Unicode MS" w:eastAsia="Arial Unicode MS"/>
        </w:rPr>
        <w:t>减少非 MMA 指令的关键收益</w:t>
      </w:r>
    </w:p>
    <w:p>
      <w:pPr>
        <w:pStyle w:val="Heading2"/>
        <w:widowControl/>
      </w:pPr>
      <w:r>
        <w:rPr>
          <w:rFonts w:ascii="Arial Unicode MS" w:hAnsi="Arial Unicode MS" w:eastAsia="Arial Unicode MS"/>
        </w:rPr>
        <w:t>完整合法块跳过逐元素 mask</w:t>
      </w:r>
    </w:p>
    <w:p>
      <w:pPr>
        <w:widowControl/>
      </w:pPr>
      <w:r>
        <w:rPr>
          <w:rFonts w:ascii="Arial Unicode MS" w:hAnsi="Arial Unicode MS" w:eastAsia="Arial Unicode MS"/>
        </w:rPr>
        <w:t>在 query tile 和 key tile 都完整、且最早 query 已能看到该 key 块最后位置时，整个 tile 无需 causal 判断。其余块保留逐元素检查。BK=64、T=512 时，每个 head 的 36 个 KV tile 中有 28 个完整合法块。该阶段 operator 从 69.90 降到 62.86 µs，约改善 10.1%，但与 N=8 展开回撤的版本对应尚未完全固化。</w:t>
      </w:r>
    </w:p>
    <w:p>
      <w:pPr>
        <w:pStyle w:val="Heading2"/>
        <w:widowControl/>
      </w:pPr>
      <w:r>
        <w:rPr>
          <w:rFonts w:ascii="Arial Unicode MS" w:hAnsi="Arial Unicode MS" w:eastAsia="Arial Unicode MS"/>
        </w:rPr>
        <w:t>用 int32 表达索引 保留 int64 地址偏移</w:t>
      </w:r>
    </w:p>
    <w:p>
      <w:pPr>
        <w:widowControl/>
      </w:pPr>
      <w:r>
        <w:rPr>
          <w:rFonts w:ascii="Arial Unicode MS" w:hAnsi="Arial Unicode MS" w:eastAsia="Arial Unicode MS"/>
        </w:rPr>
        <w:t>tile 计数、行列坐标与 mask 比较改用 int32；host 在连续化与分配前检查 Tk≤INT32_MAX。row×DH 和 batch/head 偏移在乘法前提升为 int64。因果比较写成 kj-past_len≤qi，尾块先限长再相加，避免 padded 索引溢出。Graph 从 51.11 降到 48.71 µs，约改善 4.7%。</w:t>
      </w:r>
    </w:p>
    <w:p>
      <w:pPr>
        <w:pStyle w:val="Heading2"/>
        <w:widowControl/>
      </w:pPr>
      <w:r>
        <w:rPr>
          <w:rFonts w:ascii="Arial Unicode MS" w:hAnsi="Arial Unicode MS" w:eastAsia="Arial Unicode MS"/>
        </w:rPr>
        <w:t>分母累计留在线程局部 最后再归约</w:t>
      </w:r>
    </w:p>
    <w:p>
      <w:pPr>
        <w:widowControl/>
      </w:pPr>
      <w:r>
        <w:rPr>
          <w:rFonts w:ascii="Arial Unicode MS" w:hAnsi="Arial Unicode MS" w:eastAsia="Arial Unicode MS"/>
        </w:rPr>
        <w:t>当前每行由四个 lane 合作。每轮仍计算本 lane 的指数和，并以共同的 alpha 重缩放历史累计值；循环中无需完整行分母，所以可以把跨 lane 求和推迟到末尾。行最大值仍须每轮跨 lane 归约。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16"/>
        <w:gridCol w:w="1584"/>
        <w:gridCol w:w="1584"/>
        <w:gridCol w:w="1584"/>
        <w:gridCol w:w="1584"/>
      </w:tblGrid>
      <w:tr>
        <w:trPr>
          <w:cantSplit/>
          <w:tblHeader/>
        </w:trPr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同一逻辑行</w:t>
            </w:r>
          </w:p>
        </w:tc>
        <w:tc>
          <w:tcPr>
            <w:tcW w:type="dxa" w:w="15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lane 0</w:t>
            </w:r>
          </w:p>
        </w:tc>
        <w:tc>
          <w:tcPr>
            <w:tcW w:type="dxa" w:w="15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lane 1</w:t>
            </w:r>
          </w:p>
        </w:tc>
        <w:tc>
          <w:tcPr>
            <w:tcW w:type="dxa" w:w="15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lane 2</w:t>
            </w:r>
          </w:p>
        </w:tc>
        <w:tc>
          <w:tcPr>
            <w:tcW w:type="dxa" w:w="15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0"/>
              </w:rPr>
              <w:t>lane 3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0"/>
              </w:rPr>
              <w:t>tile 0 后的累计部分和</w:t>
            </w:r>
          </w:p>
        </w:tc>
        <w:tc>
          <w:tcPr>
            <w:tcW w:type="dxa" w:w="15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0"/>
              </w:rPr>
              <w:t>2</w:t>
            </w:r>
          </w:p>
        </w:tc>
        <w:tc>
          <w:tcPr>
            <w:tcW w:type="dxa" w:w="15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0"/>
              </w:rPr>
              <w:t>3</w:t>
            </w:r>
          </w:p>
        </w:tc>
        <w:tc>
          <w:tcPr>
            <w:tcW w:type="dxa" w:w="15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0"/>
              </w:rPr>
              <w:t>4</w:t>
            </w:r>
          </w:p>
        </w:tc>
        <w:tc>
          <w:tcPr>
            <w:tcW w:type="dxa" w:w="15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0"/>
              </w:rPr>
              <w:t>tile 1 新增部分和</w:t>
            </w:r>
          </w:p>
        </w:tc>
        <w:tc>
          <w:tcPr>
            <w:tcW w:type="dxa" w:w="15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0"/>
              </w:rPr>
              <w:t>2</w:t>
            </w:r>
          </w:p>
        </w:tc>
        <w:tc>
          <w:tcPr>
            <w:tcW w:type="dxa" w:w="15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0"/>
              </w:rPr>
              <w:t>1</w:t>
            </w:r>
          </w:p>
        </w:tc>
        <w:tc>
          <w:tcPr>
            <w:tcW w:type="dxa" w:w="15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0"/>
              </w:rPr>
              <w:t>alpha=0.5 后的累计值</w:t>
            </w:r>
          </w:p>
        </w:tc>
        <w:tc>
          <w:tcPr>
            <w:tcW w:type="dxa" w:w="15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0"/>
              </w:rPr>
              <w:t>2</w:t>
            </w:r>
          </w:p>
        </w:tc>
        <w:tc>
          <w:tcPr>
            <w:tcW w:type="dxa" w:w="15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0"/>
              </w:rPr>
              <w:t>3.5</w:t>
            </w:r>
          </w:p>
        </w:tc>
        <w:tc>
          <w:tcPr>
            <w:tcW w:type="dxa" w:w="15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0"/>
              </w:rPr>
              <w:t>3</w:t>
            </w:r>
          </w:p>
        </w:tc>
        <w:tc>
          <w:tcPr>
            <w:tcW w:type="dxa" w:w="15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20"/>
              </w:rPr>
              <w:t>4.5</w:t>
            </w:r>
          </w:p>
        </w:tc>
      </w:tr>
    </w:tbl>
    <w:p>
      <w:pPr>
        <w:spacing w:line="20" w:lineRule="exact" w:after="80"/>
      </w:pPr>
      <w:r>
        <w:rPr>
          <w:rFonts w:ascii="Arial Unicode MS" w:hAnsi="Arial Unicode MS" w:eastAsia="Arial Unicode MS"/>
          <w:sz w:val="2"/>
        </w:rPr>
      </w:r>
    </w:p>
    <w:p>
      <w:pPr>
        <w:spacing w:after="140" w:line="240" w:lineRule="auto"/>
        <w:ind w:left="144"/>
      </w:pPr>
      <w:r>
        <w:rPr>
          <w:rFonts w:ascii="Courier New" w:hAnsi="Courier New" w:eastAsia="Arial Unicode MS"/>
          <w:sz w:val="17"/>
        </w:rPr>
        <w:t>for each KV tile:</w:t>
      </w:r>
      <w:r>
        <w:rPr>
          <w:rFonts w:ascii="Arial Unicode MS" w:hAnsi="Arial Unicode MS" w:eastAsia="Arial Unicode MS"/>
        </w:rPr>
        <w:br/>
      </w:r>
      <w:r>
        <w:rPr>
          <w:rFonts w:ascii="Courier New" w:hAnsi="Courier New" w:eastAsia="Arial Unicode MS"/>
          <w:sz w:val="17"/>
        </w:rPr>
        <w:t xml:space="preserve">    l_partial = alpha * l_partial + local_sum</w:t>
      </w:r>
      <w:r>
        <w:rPr>
          <w:rFonts w:ascii="Arial Unicode MS" w:hAnsi="Arial Unicode MS" w:eastAsia="Arial Unicode MS"/>
        </w:rPr>
        <w:br/>
      </w:r>
      <w:r>
        <w:rPr>
          <w:rFonts w:ascii="Courier New" w:hAnsi="Courier New" w:eastAsia="Arial Unicode MS"/>
          <w:sz w:val="17"/>
        </w:rPr>
      </w:r>
      <w:r>
        <w:rPr>
          <w:rFonts w:ascii="Arial Unicode MS" w:hAnsi="Arial Unicode MS" w:eastAsia="Arial Unicode MS"/>
        </w:rPr>
        <w:br/>
      </w:r>
      <w:r>
        <w:rPr>
          <w:rFonts w:ascii="Courier New" w:hAnsi="Courier New" w:eastAsia="Arial Unicode MS"/>
          <w:sz w:val="17"/>
        </w:rPr>
        <w:t>denominator = row_sum(l_partial)  # after all KV tiles</w:t>
      </w:r>
      <w:r>
        <w:rPr>
          <w:rFonts w:ascii="Arial Unicode MS" w:hAnsi="Arial Unicode MS" w:eastAsia="Arial Unicode MS"/>
        </w:rPr>
        <w:br/>
      </w:r>
      <w:r>
        <w:rPr>
          <w:rFonts w:ascii="Courier New" w:hAnsi="Courier New" w:eastAsia="Arial Unicode MS"/>
          <w:sz w:val="17"/>
        </w:rPr>
        <w:t>inv_l = 1.0f / denominator</w:t>
      </w:r>
      <w:r>
        <w:rPr>
          <w:rFonts w:ascii="Arial Unicode MS" w:hAnsi="Arial Unicode MS" w:eastAsia="Arial Unicode MS"/>
        </w:rPr>
        <w:br/>
      </w:r>
      <w:r>
        <w:rPr>
          <w:rFonts w:ascii="Courier New" w:hAnsi="Courier New" w:eastAsia="Arial Unicode MS"/>
          <w:sz w:val="17"/>
        </w:rPr>
        <w:t>O = O_acc * inv_l</w:t>
      </w:r>
    </w:p>
    <w:p>
      <w:pPr>
        <w:widowControl/>
      </w:pPr>
      <w:r>
        <w:rPr>
          <w:rFonts w:ascii="Arial Unicode MS" w:hAnsi="Arial Unicode MS" w:eastAsia="Arial Unicode MS"/>
        </w:rPr>
        <w:t>最终 shuffle 必须由尾块中所有 lane 参与，放在 qi&lt;Tq 判断之前。倒数按每线程负责的每行计算一次，而非更新或保存以前的 S tile。对于遍历 N 个 KV 块的 CTA，分母相关 shuffle 从每线程 4N 次降为 4 次；源码中的输出除法从最多 32 次降为 2 次。</w:t>
      </w:r>
    </w:p>
    <w:p>
      <w:pPr>
        <w:widowControl/>
      </w:pPr>
      <w:r>
        <w:rPr>
          <w:rFonts w:ascii="Arial Unicode MS" w:hAnsi="Arial Unicode MS" w:eastAsia="Arial Unicode MS"/>
        </w:rPr>
        <w:t>两项一起测量得到 46.73→42.34 µs，下降 9.4%。没有新增 shared-memory 访问或 CTA barrier；单项收益尚未拆分。浮点求和顺序和除法改写会改变舍入，需要继续使用 FP64 O/LSE 对照。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  <w:widowControl/>
      </w:pPr>
      <w:r>
        <w:rPr>
          <w:rFonts w:ascii="Arial Unicode MS" w:hAnsi="Arial Unicode MS" w:eastAsia="Arial Unicode MS"/>
        </w:rPr>
        <w:t>无收益实验与正确性修复</w:t>
      </w:r>
    </w:p>
    <w:p>
      <w:pPr>
        <w:widowControl/>
      </w:pPr>
      <w:r>
        <w:rPr>
          <w:rFonts w:ascii="Arial Unicode MS" w:hAnsi="Arial Unicode MS" w:eastAsia="Arial Unicode MS"/>
        </w:rPr>
        <w:t>优化记录保留失败结果，避免在后续迭代中重复追求已经被实测否定的资源指标。下表中的“未隔离”表示不能依据现有日志给出单项速度贡献。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5184"/>
        <w:gridCol w:w="2304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51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观测</w:t>
            </w:r>
          </w:p>
        </w:tc>
        <w:tc>
          <w:tcPr>
            <w:tcW w:type="dxa" w:w="230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完整 Q 常驻寄存器</w:t>
            </w:r>
          </w:p>
        </w:tc>
        <w:tc>
          <w:tcPr>
            <w:tcW w:type="dxa" w:w="51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减少 shared memory 但增大寄存器工作集</w:t>
              <w:br/>
              <w:t>没有可归因的独立提速记录</w:t>
            </w:r>
          </w:p>
        </w:tc>
        <w:tc>
          <w:tcPr>
            <w:tcW w:type="dxa" w:w="230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回到 Q shared memory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手写 N=8 的 B fragment 展开</w:t>
            </w:r>
          </w:p>
        </w:tc>
        <w:tc>
          <w:tcPr>
            <w:tcW w:type="dxa" w:w="51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组合版本 128 registers</w:t>
              <w:br/>
              <w:t>20 B spill stores 28 B spill loads</w:t>
            </w:r>
          </w:p>
        </w:tc>
        <w:tc>
          <w:tcPr>
            <w:tcW w:type="dxa" w:w="230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展开回撤</w:t>
              <w:br/>
              <w:t>预取和 CTA 排列保留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launch bounds 从 4 提到 5</w:t>
            </w:r>
          </w:p>
        </w:tc>
        <w:tc>
          <w:tcPr>
            <w:tcW w:type="dxa" w:w="51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Graph 50.61→53.16 µs</w:t>
              <w:br/>
              <w:t>慢约 5.0%</w:t>
            </w:r>
          </w:p>
        </w:tc>
        <w:tc>
          <w:tcPr>
            <w:tcW w:type="dxa" w:w="230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采用目标 4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base-2 softmax</w:t>
            </w:r>
          </w:p>
        </w:tc>
        <w:tc>
          <w:tcPr>
            <w:tcW w:type="dxa" w:w="51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Graph 50.61→51.11 µs</w:t>
              <w:br/>
              <w:t>约 1% 差异 未显示明显收益</w:t>
            </w:r>
          </w:p>
        </w:tc>
        <w:tc>
          <w:tcPr>
            <w:tcW w:type="dxa" w:w="230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保留为后续受控基线</w:t>
              <w:br/>
              <w:t>不计为独立提速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Q shared memory 重排输出</w:t>
            </w:r>
          </w:p>
        </w:tc>
        <w:tc>
          <w:tcPr>
            <w:tcW w:type="dxa" w:w="51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46.73→48.17 µs</w:t>
              <w:br/>
              <w:t>慢约 3.1%</w:t>
            </w:r>
          </w:p>
        </w:tc>
        <w:tc>
          <w:tcPr>
            <w:tcW w:type="dxa" w:w="230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撤回 直接 32-bit pair 写回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int32 下重试自然指数</w:t>
            </w:r>
          </w:p>
        </w:tc>
        <w:tc>
          <w:tcPr>
            <w:tcW w:type="dxa" w:w="51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曾准备候选 用户明确要求改做 KV tile</w:t>
              <w:br/>
              <w:t>没有 GPU 性能结果</w:t>
            </w:r>
          </w:p>
        </w:tc>
        <w:tc>
          <w:tcPr>
            <w:tcW w:type="dxa" w:w="230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未测量 已撤回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更高 occupancy 或零 spill</w:t>
            </w:r>
          </w:p>
        </w:tc>
        <w:tc>
          <w:tcPr>
            <w:tcW w:type="dxa" w:w="518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更多驻留 warp 不保证更低延迟</w:t>
              <w:br/>
              <w:t>有少量 spill 的组合版本仍可能更快</w:t>
            </w:r>
          </w:p>
        </w:tc>
        <w:tc>
          <w:tcPr>
            <w:tcW w:type="dxa" w:w="230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按正确性与时间决定</w:t>
            </w:r>
          </w:p>
        </w:tc>
      </w:tr>
    </w:tbl>
    <w:p>
      <w:pPr>
        <w:spacing w:line="20" w:lineRule="exact" w:after="80"/>
      </w:pPr>
      <w:r>
        <w:rPr>
          <w:rFonts w:ascii="Arial Unicode MS" w:hAnsi="Arial Unicode MS" w:eastAsia="Arial Unicode MS"/>
          <w:sz w:val="2"/>
        </w:rPr>
      </w:r>
    </w:p>
    <w:p>
      <w:pPr>
        <w:pStyle w:val="Heading2"/>
        <w:widowControl/>
      </w:pPr>
      <w:r>
        <w:rPr>
          <w:rFonts w:ascii="Arial Unicode MS" w:hAnsi="Arial Unicode MS" w:eastAsia="Arial Unicode MS"/>
        </w:rPr>
        <w:t>性能实验之前先修复的功能问题</w:t>
      </w:r>
    </w:p>
    <w:p>
      <w:pPr>
        <w:pStyle w:val="ListBullet"/>
        <w:widowControl/>
        <w:spacing w:after="100"/>
      </w:pPr>
      <w:r>
        <w:rPr>
          <w:rFonts w:ascii="Arial Unicode MS" w:hAnsi="Arial Unicode MS" w:eastAsia="Arial Unicode MS"/>
        </w:rPr>
        <w:t>绑定与参数：修复 dtype 恒假条件、BF16 类型与指针调用、错误变量名、模板实参；LSE 使用 FP32，启动分配正确的动态共享内存。</w:t>
      </w:r>
    </w:p>
    <w:p>
      <w:pPr>
        <w:pStyle w:val="ListBullet"/>
        <w:widowControl/>
        <w:spacing w:after="100"/>
      </w:pPr>
      <w:r>
        <w:rPr>
          <w:rFonts w:ascii="Arial Unicode MS" w:hAnsi="Arial Unicode MS" w:eastAsia="Arial Unicode MS"/>
        </w:rPr>
        <w:t>输入契约：拒绝混合 dtype 和 BF16 segment IDs，检查 SM80 与 grid 上限；连续 view 的 storage_offset 仍可能不对齐，必要时 clone 保证 16-byte 对齐。</w:t>
      </w:r>
    </w:p>
    <w:p>
      <w:pPr>
        <w:pStyle w:val="ListBullet"/>
        <w:widowControl/>
        <w:spacing w:after="100"/>
      </w:pPr>
      <w:r>
        <w:rPr>
          <w:rFonts w:ascii="Arial Unicode MS" w:hAnsi="Arial Unicode MS" w:eastAsia="Arial Unicode MS"/>
        </w:rPr>
        <w:t>测试对照：未对齐原始 view 仍交给 student；SDPA 参考使用值相同的对齐副本。一次 CUDA misaligned-address 错误可能污染后续用例，需新进程重跑。</w:t>
      </w:r>
    </w:p>
    <w:p>
      <w:pPr>
        <w:pStyle w:val="ListBullet"/>
        <w:widowControl/>
        <w:spacing w:after="100"/>
      </w:pPr>
      <w:r>
        <w:rPr>
          <w:rFonts w:ascii="Arial Unicode MS" w:hAnsi="Arial Unicode MS" w:eastAsia="Arial Unicode MS"/>
        </w:rPr>
        <w:t>编译兼容：坐标 tensor 的 ScaledBasis stride 不能直接用于 fragment 排序，改为取 shape 后分配；误用 __exp2f 改为 CUDA 支持的 exp2f。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  <w:widowControl/>
      </w:pPr>
      <w:r>
        <w:rPr>
          <w:rFonts w:ascii="Arial Unicode MS" w:hAnsi="Arial Unicode MS" w:eastAsia="Arial Unicode MS"/>
        </w:rPr>
        <w:t>Profiler 证据如何改变判断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4248"/>
        <w:gridCol w:w="3528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424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观测</w:t>
            </w:r>
          </w:p>
        </w:tc>
        <w:tc>
          <w:tcPr>
            <w:tcW w:type="dxa" w:w="352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工程判断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Shared-load bank conflict</w:t>
            </w:r>
          </w:p>
        </w:tc>
        <w:tc>
          <w:tcPr>
            <w:tcW w:type="dxa" w:w="424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曾占 shared wavefronts 43.60%</w:t>
              <w:br/>
              <w:t>修正 swizzle 后用户确认排除</w:t>
            </w:r>
          </w:p>
        </w:tc>
        <w:tc>
          <w:tcPr>
            <w:tcW w:type="dxa" w:w="352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地址模式确有问题</w:t>
              <w:br/>
              <w:t>但不是全部耗时来源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Global store sector 有效字节</w:t>
            </w:r>
          </w:p>
        </w:tc>
        <w:tc>
          <w:tcPr>
            <w:tcW w:type="dxa" w:w="424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约 8.19→16.2 / 32 bytes</w:t>
            </w:r>
          </w:p>
        </w:tc>
        <w:tc>
          <w:tcPr>
            <w:tcW w:type="dxa" w:w="352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32-bit pair 写回改善合并</w:t>
              <w:br/>
              <w:t>更大重排仍可能得不偿失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Warp 等待</w:t>
            </w:r>
          </w:p>
        </w:tc>
        <w:tc>
          <w:tcPr>
            <w:tcW w:type="dxa" w:w="424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Short Scoreboard 约 0.83→0.32</w:t>
              <w:br/>
              <w:t>Long Scoreboard 在后续版本约 1.23→0.74</w:t>
            </w:r>
          </w:p>
        </w:tc>
        <w:tc>
          <w:tcPr>
            <w:tcW w:type="dxa" w:w="352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分别与 shared 冲突缓解</w:t>
              <w:br/>
              <w:t>和加载重叠方向一致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Occupancy</w:t>
            </w:r>
          </w:p>
        </w:tc>
        <w:tc>
          <w:tcPr>
            <w:tcW w:type="dxa" w:w="424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理论 25%</w:t>
              <w:br/>
              <w:t>一次实测 23.73%  15.19 active warps/SM</w:t>
            </w:r>
          </w:p>
        </w:tc>
        <w:tc>
          <w:tcPr>
            <w:tcW w:type="dxa" w:w="352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接近该版资源上限</w:t>
              <w:br/>
              <w:t>不等于始终有可发射 warp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Tail effect</w:t>
            </w:r>
          </w:p>
        </w:tc>
        <w:tc>
          <w:tcPr>
            <w:tcW w:type="dxa" w:w="424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768 CTA  108 SM  4 CTA/SM</w:t>
              <w:br/>
              <w:t>432+336 两波</w:t>
            </w:r>
          </w:p>
        </w:tc>
        <w:tc>
          <w:tcPr>
            <w:tcW w:type="dxa" w:w="3528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50% 提示不是 50% 可消除耗时</w:t>
              <w:br/>
              <w:t>causal CTA 时长也不均匀</w:t>
            </w:r>
          </w:p>
        </w:tc>
      </w:tr>
    </w:tbl>
    <w:p>
      <w:pPr>
        <w:spacing w:line="20" w:lineRule="exact" w:after="80"/>
      </w:pPr>
      <w:r>
        <w:rPr>
          <w:rFonts w:ascii="Arial Unicode MS" w:hAnsi="Arial Unicode MS" w:eastAsia="Arial Unicode MS"/>
          <w:sz w:val="2"/>
        </w:rPr>
      </w:r>
    </w:p>
    <w:p>
      <w:pPr>
        <w:pStyle w:val="Heading2"/>
        <w:widowControl/>
      </w:pPr>
      <w:r>
        <w:rPr>
          <w:rFonts w:ascii="Arial Unicode MS" w:hAnsi="Arial Unicode MS" w:eastAsia="Arial Unicode MS"/>
        </w:rPr>
        <w:t>编译资源必须按 kernel 和版本匹配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64"/>
        <w:gridCol w:w="1512"/>
        <w:gridCol w:w="1512"/>
        <w:gridCol w:w="2664"/>
      </w:tblGrid>
      <w:tr>
        <w:trPr>
          <w:cantSplit/>
          <w:tblHeader/>
        </w:trPr>
        <w:tc>
          <w:tcPr>
            <w:tcW w:type="dxa" w:w="44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BF16 forward 阶段</w:t>
            </w:r>
          </w:p>
        </w:tc>
        <w:tc>
          <w:tcPr>
            <w:tcW w:type="dxa" w:w="151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Registers</w:t>
            </w:r>
          </w:p>
        </w:tc>
        <w:tc>
          <w:tcPr>
            <w:tcW w:type="dxa" w:w="151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Stack B</w:t>
            </w:r>
          </w:p>
        </w:tc>
        <w:tc>
          <w:tcPr>
            <w:tcW w:type="dxa" w:w="26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Spill store/load B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修正 swizzle 后的一版</w:t>
            </w:r>
          </w:p>
        </w:tc>
        <w:tc>
          <w:tcPr>
            <w:tcW w:type="dxa" w:w="151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约 120 至 121</w:t>
            </w:r>
          </w:p>
        </w:tc>
        <w:tc>
          <w:tcPr>
            <w:tcW w:type="dxa" w:w="151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</w:t>
            </w:r>
          </w:p>
        </w:tc>
        <w:tc>
          <w:tcPr>
            <w:tcW w:type="dxa" w:w="26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 / 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N=8 展开等组合</w:t>
            </w:r>
          </w:p>
        </w:tc>
        <w:tc>
          <w:tcPr>
            <w:tcW w:type="dxa" w:w="151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128</w:t>
            </w:r>
          </w:p>
        </w:tc>
        <w:tc>
          <w:tcPr>
            <w:tcW w:type="dxa" w:w="151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16</w:t>
            </w:r>
          </w:p>
        </w:tc>
        <w:tc>
          <w:tcPr>
            <w:tcW w:type="dxa" w:w="26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20 / 28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BK64 BH32</w:t>
            </w:r>
          </w:p>
        </w:tc>
        <w:tc>
          <w:tcPr>
            <w:tcW w:type="dxa" w:w="151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157</w:t>
            </w:r>
          </w:p>
        </w:tc>
        <w:tc>
          <w:tcPr>
            <w:tcW w:type="dxa" w:w="151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</w:t>
            </w:r>
          </w:p>
        </w:tc>
        <w:tc>
          <w:tcPr>
            <w:tcW w:type="dxa" w:w="26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 / 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launch bounds 4</w:t>
            </w:r>
          </w:p>
        </w:tc>
        <w:tc>
          <w:tcPr>
            <w:tcW w:type="dxa" w:w="151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128</w:t>
            </w:r>
          </w:p>
        </w:tc>
        <w:tc>
          <w:tcPr>
            <w:tcW w:type="dxa" w:w="151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</w:t>
            </w:r>
          </w:p>
        </w:tc>
        <w:tc>
          <w:tcPr>
            <w:tcW w:type="dxa" w:w="26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 / 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int32 base-2</w:t>
            </w:r>
          </w:p>
        </w:tc>
        <w:tc>
          <w:tcPr>
            <w:tcW w:type="dxa" w:w="151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128</w:t>
            </w:r>
          </w:p>
        </w:tc>
        <w:tc>
          <w:tcPr>
            <w:tcW w:type="dxa" w:w="151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8</w:t>
            </w:r>
          </w:p>
        </w:tc>
        <w:tc>
          <w:tcPr>
            <w:tcW w:type="dxa" w:w="26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4 / 4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BH64 完整 K/V</w:t>
            </w:r>
          </w:p>
        </w:tc>
        <w:tc>
          <w:tcPr>
            <w:tcW w:type="dxa" w:w="151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121</w:t>
            </w:r>
          </w:p>
        </w:tc>
        <w:tc>
          <w:tcPr>
            <w:tcW w:type="dxa" w:w="151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</w:t>
            </w:r>
          </w:p>
        </w:tc>
        <w:tc>
          <w:tcPr>
            <w:tcW w:type="dxa" w:w="26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 / 0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最新延迟归约与倒数版本</w:t>
            </w:r>
          </w:p>
        </w:tc>
        <w:tc>
          <w:tcPr>
            <w:tcW w:type="dxa" w:w="151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未提供</w:t>
            </w:r>
          </w:p>
        </w:tc>
        <w:tc>
          <w:tcPr>
            <w:tcW w:type="dxa" w:w="151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未提供</w:t>
            </w:r>
          </w:p>
        </w:tc>
        <w:tc>
          <w:tcPr>
            <w:tcW w:type="dxa" w:w="266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未提供</w:t>
            </w:r>
          </w:p>
        </w:tc>
      </w:tr>
    </w:tbl>
    <w:p>
      <w:pPr>
        <w:spacing w:line="20" w:lineRule="exact" w:after="80"/>
      </w:pPr>
      <w:r>
        <w:rPr>
          <w:rFonts w:ascii="Arial Unicode MS" w:hAnsi="Arial Unicode MS" w:eastAsia="Arial Unicode MS"/>
          <w:sz w:val="2"/>
        </w:rPr>
      </w:r>
    </w:p>
    <w:p>
      <w:pPr>
        <w:widowControl/>
      </w:pPr>
      <w:r>
        <w:rPr>
          <w:rFonts w:ascii="Arial Unicode MS" w:hAnsi="Arial Unicode MS" w:eastAsia="Arial Unicode MS"/>
        </w:rPr>
        <w:t>早期日志中的 96 registers 属于 FP32 attention_detail::forward，不是 BF16 kernel。used 1 barriers 表示 barrier 资源，不是动态执行一次同步。24 KiB 属于动态共享内存，未必出现在 ptxas 的静态 smem 字段中。</w:t>
      </w:r>
    </w:p>
    <w:p>
      <w:pPr>
        <w:widowControl/>
      </w:pPr>
      <w:r>
        <w:rPr>
          <w:rFonts w:ascii="Arial Unicode MS" w:hAnsi="Arial Unicode MS" w:eastAsia="Arial Unicode MS"/>
        </w:rPr>
        <w:t>当前 128-thread CTA 在 A100 上约 121/128 registers 时，寄存器分配限制为 4 CTA/SM；157 registers 时约为 3 CTA/SM。NCU 的估计加速百分比不能相加，stall 图的周期/指令也不能直接当作总耗时占比。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  <w:widowControl/>
      </w:pPr>
      <w:r>
        <w:rPr>
          <w:rFonts w:ascii="Arial Unicode MS" w:hAnsi="Arial Unicode MS" w:eastAsia="Arial Unicode MS"/>
        </w:rPr>
        <w:t>完整测量记录与口径标记</w:t>
      </w:r>
    </w:p>
    <w:p>
      <w:pPr>
        <w:widowControl/>
      </w:pPr>
      <w:r>
        <w:rPr>
          <w:rFonts w:ascii="Arial Unicode MS" w:hAnsi="Arial Unicode MS" w:eastAsia="Arial Unicode MS"/>
        </w:rPr>
        <w:t>所有数值均取自用户粘贴的终端结果，单位 µs。G 为 Graph，G* 为沿用 Graph 语境但缺少完整命令的结果片段，O 为 operator，X 为挂 NCU 的诊断运行。X 项仅解释测量干扰，不纳入加速结论。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1224"/>
        <w:gridCol w:w="3816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方式 场景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student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SDPA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173F52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速度比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O01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O/P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最初可运行 BF16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101.92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40.92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0.40×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D01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O/D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通用 query tile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35.44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30.15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0.85×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G01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G/P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初始 Graph 对照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100.42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39.37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0.39×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D02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G/D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通用 query tile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34.06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15.42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0.45×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G02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G/P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小 KV tile 与 union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98.08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39.29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0.40×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D03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G/D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专用 split KV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12.73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15.44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1.21×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X01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X/P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仅一次预热和采样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209.92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258.05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1.23×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X02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X/P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恢复 20 100 5 采样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102.79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158.28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1.54×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O02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O/P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无 NCU 复测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99.10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41.19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0.42×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O03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O/P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预取与 CTA 组合优化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69.90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41.25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0.59×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O04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O/P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完整块 mask fast path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62.86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41.11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0.65×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O05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O/P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BK 从 32 增至 64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58.51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41.31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0.71×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O06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O/P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launch bounds 4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52.03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41.18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0.79×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G03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G/P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launch bounds 4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50.61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39.52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0.78×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G04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G/P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launch bounds 5 回退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53.16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39.26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0.74×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G05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G/P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base 2 softmax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51.11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39.39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0.77×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G06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G/P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int32 索引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48.71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39.23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0.81×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G07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G*/P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BH 从 32 增至 64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46.73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39.35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0.84×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G08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G*/P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shared O 重排 回退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48.17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39.27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FFFFF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0.82×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G09</w:t>
            </w:r>
          </w:p>
        </w:tc>
        <w:tc>
          <w:tcPr>
            <w:tcW w:type="dxa" w:w="1224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G*/P</w:t>
            </w:r>
          </w:p>
        </w:tc>
        <w:tc>
          <w:tcPr>
            <w:tcW w:type="dxa" w:w="3816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延迟归约与倒数复用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42.34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39.27</w:t>
            </w:r>
          </w:p>
        </w:tc>
        <w:tc>
          <w:tcPr>
            <w:tcW w:type="dxa" w:w="1440"/>
            <w:vAlign w:val="center"/>
            <w:tcMar>
              <w:top w:w="70" w:type="dxa"/>
              <w:left w:w="95" w:type="dxa"/>
              <w:bottom w:w="70" w:type="dxa"/>
              <w:right w:w="95" w:type="dxa"/>
            </w:tcMar>
            <w:shd w:fill="F0F6F8"/>
          </w:tcPr>
          <w:p>
            <w:pPr>
              <w:spacing w:after="0" w:before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72A35"/>
                <w:sz w:val="18"/>
              </w:rPr>
              <w:t>0.93×</w:t>
            </w:r>
          </w:p>
        </w:tc>
      </w:tr>
    </w:tbl>
    <w:p>
      <w:pPr>
        <w:spacing w:line="20" w:lineRule="exact" w:after="80"/>
      </w:pPr>
      <w:r>
        <w:rPr>
          <w:rFonts w:ascii="Arial Unicode MS" w:hAnsi="Arial Unicode MS" w:eastAsia="Arial Unicode MS"/>
          <w:sz w:val="2"/>
        </w:rPr>
      </w:r>
    </w:p>
    <w:p>
      <w:pPr>
        <w:widowControl/>
      </w:pPr>
      <w:r>
        <w:rPr>
          <w:rFonts w:ascii="Arial Unicode MS" w:hAnsi="Arial Unicode MS" w:eastAsia="Arial Unicode MS"/>
        </w:rPr>
        <w:t>P=prefill，D=decode。速度比始终为 SDPA/student，大于 1 表示 student 更快。多个结果写入同一 JSON 路径，原始 trial 数组未完整保留在对话中，因此本报告不提供误差条或显著性检验。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  <w:widowControl/>
      </w:pPr>
      <w:r>
        <w:rPr>
          <w:rFonts w:ascii="Arial Unicode MS" w:hAnsi="Arial Unicode MS" w:eastAsia="Arial Unicode MS"/>
        </w:rPr>
        <w:t>复现方式与后续实验</w:t>
      </w:r>
    </w:p>
    <w:p>
      <w:pPr>
        <w:widowControl/>
      </w:pPr>
      <w:r>
        <w:rPr>
          <w:rFonts w:ascii="Arial Unicode MS" w:hAnsi="Arial Unicode MS" w:eastAsia="Arial Unicode MS"/>
        </w:rPr>
        <w:t>汇报与复测环境为 A100 80GB PCIe、PyTorch 2.8.0a0+34c6371d24.nv25.08。用户 profiler 已确认 prefill 与 decode 都经过 aten::_scaled_dot_product_flash_attention。其具体 tile 配置不能仅由这个 ATen 名称推断。</w:t>
      </w:r>
    </w:p>
    <w:p>
      <w:pPr>
        <w:pStyle w:val="Heading2"/>
        <w:widowControl/>
      </w:pPr>
      <w:r>
        <w:rPr>
          <w:rFonts w:ascii="Arial Unicode MS" w:hAnsi="Arial Unicode MS" w:eastAsia="Arial Unicode MS"/>
        </w:rPr>
        <w:t>固定输入与计时方式</w:t>
      </w:r>
    </w:p>
    <w:p>
      <w:pPr>
        <w:spacing w:after="140" w:line="240" w:lineRule="auto"/>
        <w:ind w:left="144"/>
      </w:pPr>
      <w:r>
        <w:rPr>
          <w:rFonts w:ascii="Courier New" w:hAnsi="Courier New" w:eastAsia="Arial Unicode MS"/>
          <w:sz w:val="17"/>
        </w:rPr>
        <w:t>TORCH_CUDA_ARCH_LIST=8.0 python3 -m tiny_transformer.benchmarks \</w:t>
      </w:r>
      <w:r>
        <w:rPr>
          <w:rFonts w:ascii="Arial Unicode MS" w:hAnsi="Arial Unicode MS" w:eastAsia="Arial Unicode MS"/>
        </w:rPr>
        <w:br/>
      </w:r>
      <w:r>
        <w:rPr>
          <w:rFonts w:ascii="Courier New" w:hAnsi="Courier New" w:eastAsia="Arial Unicode MS"/>
          <w:sz w:val="17"/>
        </w:rPr>
        <w:t xml:space="preserve">  --operator attention --backend student --baseline sdpa \</w:t>
      </w:r>
      <w:r>
        <w:rPr>
          <w:rFonts w:ascii="Arial Unicode MS" w:hAnsi="Arial Unicode MS" w:eastAsia="Arial Unicode MS"/>
        </w:rPr>
        <w:br/>
      </w:r>
      <w:r>
        <w:rPr>
          <w:rFonts w:ascii="Courier New" w:hAnsi="Courier New" w:eastAsia="Arial Unicode MS"/>
          <w:sz w:val="17"/>
        </w:rPr>
        <w:t xml:space="preserve">  --precision bf16 --device cuda:1 --phases forward \</w:t>
      </w:r>
      <w:r>
        <w:rPr>
          <w:rFonts w:ascii="Arial Unicode MS" w:hAnsi="Arial Unicode MS" w:eastAsia="Arial Unicode MS"/>
        </w:rPr>
        <w:br/>
      </w:r>
      <w:r>
        <w:rPr>
          <w:rFonts w:ascii="Courier New" w:hAnsi="Courier New" w:eastAsia="Arial Unicode MS"/>
          <w:sz w:val="17"/>
        </w:rPr>
        <w:t xml:space="preserve">  --workloads prefill --attention-timing graph \</w:t>
      </w:r>
      <w:r>
        <w:rPr>
          <w:rFonts w:ascii="Arial Unicode MS" w:hAnsi="Arial Unicode MS" w:eastAsia="Arial Unicode MS"/>
        </w:rPr>
        <w:br/>
      </w:r>
      <w:r>
        <w:rPr>
          <w:rFonts w:ascii="Courier New" w:hAnsi="Courier New" w:eastAsia="Arial Unicode MS"/>
          <w:sz w:val="17"/>
        </w:rPr>
        <w:t xml:space="preserve">  --layouts contiguous --batch-size 8 --heads 12 \</w:t>
      </w:r>
      <w:r>
        <w:rPr>
          <w:rFonts w:ascii="Arial Unicode MS" w:hAnsi="Arial Unicode MS" w:eastAsia="Arial Unicode MS"/>
        </w:rPr>
        <w:br/>
      </w:r>
      <w:r>
        <w:rPr>
          <w:rFonts w:ascii="Courier New" w:hAnsi="Courier New" w:eastAsia="Arial Unicode MS"/>
          <w:sz w:val="17"/>
        </w:rPr>
        <w:t xml:space="preserve">  --dim 768 --seq-length 512 --warmup 20 --repeats 100 --trials 5 \</w:t>
      </w:r>
      <w:r>
        <w:rPr>
          <w:rFonts w:ascii="Arial Unicode MS" w:hAnsi="Arial Unicode MS" w:eastAsia="Arial Unicode MS"/>
        </w:rPr>
        <w:br/>
      </w:r>
      <w:r>
        <w:rPr>
          <w:rFonts w:ascii="Courier New" w:hAnsi="Courier New" w:eastAsia="Arial Unicode MS"/>
          <w:sz w:val="17"/>
        </w:rPr>
        <w:t xml:space="preserve">  --output runs/attention-delayed-denom-graph.json</w:t>
      </w:r>
    </w:p>
    <w:p>
      <w:pPr>
        <w:widowControl/>
      </w:pPr>
      <w:r>
        <w:rPr>
          <w:rFonts w:ascii="Arial Unicode MS" w:hAnsi="Arial Unicode MS" w:eastAsia="Arial Unicode MS"/>
        </w:rPr>
        <w:t>operator 与 Graph 分别报告；不在挂 NCU 的 benchmark 输出中判断谁更快。NCU 内核 Duration 和硬件计数器用于定位问题，无 NCU 的独立运行用于速度结论。缺少 TORCH_CUDA_ARCH_LIST 可能改变 JIT 编译架构并触发重新编译，编译等待不计入稳态计时。</w:t>
      </w:r>
    </w:p>
    <w:p>
      <w:pPr>
        <w:pStyle w:val="Heading2"/>
        <w:widowControl/>
      </w:pPr>
      <w:r>
        <w:rPr>
          <w:rFonts w:ascii="Arial Unicode MS" w:hAnsi="Arial Unicode MS" w:eastAsia="Arial Unicode MS"/>
        </w:rPr>
        <w:t>正确性与编译资源</w:t>
      </w:r>
    </w:p>
    <w:p>
      <w:pPr>
        <w:spacing w:after="140" w:line="240" w:lineRule="auto"/>
        <w:ind w:left="144"/>
      </w:pPr>
      <w:r>
        <w:rPr>
          <w:rFonts w:ascii="Courier New" w:hAnsi="Courier New" w:eastAsia="Arial Unicode MS"/>
          <w:sz w:val="17"/>
        </w:rPr>
        <w:t>TORCH_CUDA_ARCH_LIST=8.0 TINY_TRANSFORMER_CUDA_VERBOSE=1 \</w:t>
      </w:r>
      <w:r>
        <w:rPr>
          <w:rFonts w:ascii="Arial Unicode MS" w:hAnsi="Arial Unicode MS" w:eastAsia="Arial Unicode MS"/>
        </w:rPr>
        <w:br/>
      </w:r>
      <w:r>
        <w:rPr>
          <w:rFonts w:ascii="Courier New" w:hAnsi="Courier New" w:eastAsia="Arial Unicode MS"/>
          <w:sz w:val="17"/>
        </w:rPr>
        <w:t>python3 -m unittest discover -s tests \</w:t>
      </w:r>
      <w:r>
        <w:rPr>
          <w:rFonts w:ascii="Arial Unicode MS" w:hAnsi="Arial Unicode MS" w:eastAsia="Arial Unicode MS"/>
        </w:rPr>
        <w:br/>
      </w:r>
      <w:r>
        <w:rPr>
          <w:rFonts w:ascii="Courier New" w:hAnsi="Courier New" w:eastAsia="Arial Unicode MS"/>
          <w:sz w:val="17"/>
        </w:rPr>
        <w:t xml:space="preserve">  -p test_student_attention.py -k bf16 -v</w:t>
      </w:r>
    </w:p>
    <w:p>
      <w:pPr>
        <w:widowControl/>
      </w:pPr>
      <w:r>
        <w:rPr>
          <w:rFonts w:ascii="Arial Unicode MS" w:hAnsi="Arial Unicode MS" w:eastAsia="Arial Unicode MS"/>
        </w:rPr>
        <w:t>再运行 compute-sanitizer 的 memcheck、racecheck、synccheck。已有测试覆盖 FP64 O/LSE、因果隔离、query/key 尾块、非连续和未对齐 view、非默认 stream、Graph 重放与溢出拒绝。报告主机无 CUDA；本地模型与跳过的 GPU 测试不能替代目标设备验收。</w:t>
      </w:r>
    </w:p>
    <w:p>
      <w:pPr>
        <w:pStyle w:val="Heading2"/>
        <w:widowControl/>
      </w:pPr>
      <w:r>
        <w:rPr>
          <w:rFonts w:ascii="Arial Unicode MS" w:hAnsi="Arial Unicode MS" w:eastAsia="Arial Unicode MS"/>
        </w:rPr>
        <w:t>保留版本和待验证工作</w:t>
      </w:r>
    </w:p>
    <w:p>
      <w:pPr>
        <w:widowControl/>
      </w:pPr>
      <w:r>
        <w:rPr>
          <w:rFonts w:ascii="Arial Unicode MS" w:hAnsi="Arial Unicode MS" w:eastAsia="Arial Unicode MS"/>
        </w:rPr>
        <w:t>最新已报告 42.34 µs 对应“延迟归约与倒数复用”阶段，Git 记录为 8732172；其最终 ptxas 和完整 sanitizer 结果尚未在对话提供。生成报告时，工作区另有未提交的 PV 寄存器双缓冲实验，不计入 42.34 µs 的收益。下一轮应只比较 PV 的 ldmatrix 提前加载，保持 tile、softmax、bounds 和输出路径一致。40 KiB 完整 K/V 双缓冲与 128×128 大 tile 仅为备选，未得到本次测量验证。</w:t>
      </w:r>
    </w:p>
    <w:p>
      <w:pPr>
        <w:pStyle w:val="Heading2"/>
        <w:widowControl/>
      </w:pPr>
      <w:r>
        <w:rPr>
          <w:rFonts w:ascii="Arial Unicode MS" w:hAnsi="Arial Unicode MS" w:eastAsia="Arial Unicode MS"/>
        </w:rPr>
        <w:t>源码依据与数据来源</w:t>
      </w:r>
    </w:p>
    <w:p>
      <w:pPr>
        <w:spacing w:after="100"/>
      </w:pPr>
      <w:hyperlink r:id="rId16">
        <w:r>
          <w:rPr>
            <w:color w:val="173F52"/>
          </w:rPr>
          <w:t>FlashAttention v2.8.3 softmax  延迟分母归约与最终倒数</w:t>
        </w:r>
      </w:hyperlink>
    </w:p>
    <w:p>
      <w:pPr>
        <w:spacing w:after="100"/>
      </w:pPr>
      <w:hyperlink r:id="rId17">
        <w:r>
          <w:rPr>
            <w:color w:val="173F52"/>
          </w:rPr>
          <w:t>FlashAttention v2.8.3 utils  ldmatrix 与 MMA 交错</w:t>
        </w:r>
      </w:hyperlink>
    </w:p>
    <w:p>
      <w:pPr>
        <w:spacing w:after="100"/>
      </w:pPr>
      <w:hyperlink r:id="rId18">
        <w:r>
          <w:rPr>
            <w:color w:val="173F52"/>
          </w:rPr>
          <w:t>Triton v3.4.0 官方 fused attention 教程  OpenAI kernel team</w:t>
        </w:r>
      </w:hyperlink>
    </w:p>
    <w:p>
      <w:pPr>
        <w:pStyle w:val="Caption"/>
        <w:widowControl/>
      </w:pPr>
      <w:r>
        <w:rPr>
          <w:rFonts w:ascii="Arial Unicode MS" w:hAnsi="Arial Unicode MS" w:eastAsia="Arial Unicode MS"/>
        </w:rPr>
        <w:t>本地依据：csrc/attention/development.md、attention_forward_BF16_kernel.cuh、tests/test_student_attention.py、Git 提交及本对话用户日志/NCU 截图。CUTLASS example 41 和 FlashAttention 上游用于设计对照，不等同于已确认的 NGC 内部版本。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sz w:val="16"/>
      </w:rPr>
      <w:t xml:space="preserve">Tiny Transformer   2026年10月8日   </w:t>
    </w:r>
    <w:fldSimple w:instr="PAGE"/>
    <w:r>
      <w:rPr>
        <w:rFonts w:ascii="Arial Unicode MS" w:hAnsi="Arial Unicode MS" w:eastAsia="Arial Unicode MS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0"/>
    </w:pPr>
    <w:r>
      <w:rPr>
        <w:rFonts w:ascii="Arial Unicode MS" w:hAnsi="Arial Unicode MS" w:eastAsia="Arial Unicode MS"/>
      </w:rPr>
      <w:t>BF16 Attention 前向优化路径报告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140"/>
    </w:pPr>
    <w:rPr>
      <w:rFonts w:ascii="Arial Unicode MS" w:hAnsi="Arial Unicode MS" w:eastAsia="Arial Unicode MS"/>
      <w:i w:val="0"/>
      <w:color w:val="000000"/>
      <w:sz w:val="21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="Arial Unicode MS" w:hAnsi="Arial Unicode MS" w:eastAsia="Arial Unicode MS"/>
      <w:b/>
      <w:bCs/>
      <w:i w:val="0"/>
      <w:color w:val="000000"/>
      <w:sz w:val="36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="Arial Unicode MS" w:hAnsi="Arial Unicode MS" w:eastAsia="Arial Unicode MS"/>
      <w:b/>
      <w:bCs/>
      <w:i w:val="0"/>
      <w:color w:val="000000"/>
      <w:sz w:val="25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i w:val="0"/>
      <w:color w:val="000000"/>
      <w:spacing w:val="5"/>
      <w:kern w:val="28"/>
      <w:sz w:val="50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before="160" w:after="160"/>
    </w:pPr>
    <w:rPr>
      <w:rFonts w:ascii="Arial Unicode MS" w:hAnsi="Arial Unicode MS" w:eastAsia="Arial Unicode MS"/>
      <w:b w:val="0"/>
      <w:i w:val="0"/>
      <w:iCs/>
      <w:color w:val="000000"/>
      <w:spacing w:val="15"/>
      <w:sz w:val="26"/>
      <w:szCs w:val="24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i w:val="0"/>
      <w:color w:val="000000"/>
      <w:lang w:val="en-US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160" w:after="160"/>
    </w:pPr>
    <w:rPr>
      <w:rFonts w:ascii="Arial Unicode MS" w:hAnsi="Arial Unicode MS" w:eastAsia="Arial Unicode MS"/>
      <w:b w:val="0"/>
      <w:bCs/>
      <w:i w:val="0"/>
      <w:color w:val="000000"/>
      <w:sz w:val="18"/>
      <w:szCs w:val="18"/>
      <w:lang w:val="en-US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github.com/Dao-AILab/flash-attention/blob/v2.8.3/csrc/flash_attn/src/softmax.h" TargetMode="External"/><Relationship Id="rId17" Type="http://schemas.openxmlformats.org/officeDocument/2006/relationships/hyperlink" Target="https://github.com/Dao-AILab/flash-attention/blob/v2.8.3/csrc/flash_attn/src/utils.h" TargetMode="External"/><Relationship Id="rId18" Type="http://schemas.openxmlformats.org/officeDocument/2006/relationships/hyperlink" Target="https://github.com/triton-lang/triton/blob/v3.4.0/python/tutorials/06-fused-attentio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BF16 Attention 前向优化路径报告</dc:title>
  <dc:subject>A100 BF16 attention optimization evidence and experimental history</dc:subject>
  <dc:creator>Tiny Transformer 项目记录</dc:creator>
  <cp:keywords>BF16,Attention,A100,CUDA,FlashAttention,NCU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