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charts/chart29.xml" ContentType="application/vnd.openxmlformats-officedocument.drawingml.chart+xml"/>
  <Override PartName="/word/charts/colors12.xml" ContentType="application/vnd.ms-office.chartcolorstyle+xml"/>
  <Override PartName="/word/charts/chart3.xml" ContentType="application/vnd.openxmlformats-officedocument.drawingml.chart+xml"/>
  <Override PartName="/word/charts/chart37.xml" ContentType="application/vnd.openxmlformats-officedocument.drawingml.chart+xml"/>
  <Override PartName="/word/charts/style40.xml" ContentType="application/vnd.ms-office.chartstyle+xml"/>
  <Override PartName="/word/charts/style14.xml" ContentType="application/vnd.ms-office.chartstyle+xml"/>
  <Override PartName="/word/charts/chart20.xml" ContentType="application/vnd.openxmlformats-officedocument.drawingml.chart+xml"/>
  <Override PartName="/word/charts/colors39.xml" ContentType="application/vnd.ms-office.chartcolorstyle+xml"/>
  <Override PartName="/word/charts/colors3.xml" ContentType="application/vnd.ms-office.chartcolorstyle+xml"/>
  <Override PartName="/word/charts/style32.xml" ContentType="application/vnd.ms-office.chartstyle+xml"/>
  <Override PartName="/word/charts/colors20.xml" ContentType="application/vnd.ms-office.chartcolorstyle+xml"/>
  <Override PartName="/word/charts/style30.xml" ContentType="application/vnd.ms-office.chartstyle+xml"/>
  <Override PartName="/word/charts/colors5.xml" ContentType="application/vnd.ms-office.chartcolorstyle+xml"/>
  <Override PartName="/word/charts/chart12.xml" ContentType="application/vnd.openxmlformats-officedocument.drawingml.chart+xml"/>
  <Override PartName="/word/charts/chart39.xml" ContentType="application/vnd.openxmlformats-officedocument.drawingml.chart+xml"/>
  <Override PartName="/word/charts/colors14.xml" ContentType="application/vnd.ms-office.chartcolorstyle+xml"/>
  <Override PartName="/word/charts/style22.xml" ContentType="application/vnd.ms-office.chartstyle+xml"/>
  <Override PartName="/word/charts/style5.xml" ContentType="application/vnd.ms-office.chartstyle+xml"/>
  <Override PartName="/word/charts/colors10.xml" ContentType="application/vnd.ms-office.chartcolorstyle+xml"/>
  <Override PartName="/word/charts/style39.xml" ContentType="application/vnd.ms-office.chartstyle+xml"/>
  <Override PartName="/word/charts/chart30.xml" ContentType="application/vnd.openxmlformats-officedocument.drawingml.chart+xml"/>
  <Override PartName="/word/charts/colors19.xml" ContentType="application/vnd.ms-office.chartcolorstyle+xml"/>
  <Override PartName="/word/charts/chart27.xml" ContentType="application/vnd.openxmlformats-officedocument.drawingml.chart+xml"/>
  <Override PartName="/word/charts/chart14.xml" ContentType="application/vnd.openxmlformats-officedocument.drawingml.chart+xml"/>
  <Override PartName="/word/charts/chart1.xml" ContentType="application/vnd.openxmlformats-officedocument.drawingml.chart+xml"/>
  <Override PartName="/word/charts/style34.xml" ContentType="application/vnd.ms-office.chartstyle+xml"/>
  <Override PartName="/word/charts/colors37.xml" ContentType="application/vnd.ms-office.chartcolorstyle+xml"/>
  <Override PartName="/word/charts/style29.xml" ContentType="application/vnd.ms-office.chartstyle+xml"/>
  <Override PartName="/word/charts/colors30.xml" ContentType="application/vnd.ms-office.chartcolorstyle+xml"/>
  <Override PartName="/word/charts/style16.xml" ContentType="application/vnd.ms-office.chartstyle+xml"/>
  <Override PartName="/word/charts/colors43.xml" ContentType="application/vnd.ms-office.chartcolorstyle+xml"/>
  <Override PartName="/word/charts/colors7.xml" ContentType="application/vnd.ms-office.chartcolorstyle+xml"/>
  <Override PartName="/word/charts/style20.xml" ContentType="application/vnd.ms-office.chartstyle+xml"/>
  <Override PartName="/word/charts/chart32.xml" ContentType="application/vnd.openxmlformats-officedocument.drawingml.chart+xml"/>
  <Override PartName="/word/charts/style3.xml" ContentType="application/vnd.ms-office.chartstyle+xml"/>
  <Override PartName="/word/charts/style28.xml" ContentType="application/vnd.ms-office.chartstyle+xml"/>
  <Override PartName="/word/charts/chart16.xml" ContentType="application/vnd.openxmlformats-officedocument.drawingml.chart+xml"/>
  <Override PartName="/word/charts/chart41.xml" ContentType="application/vnd.openxmlformats-officedocument.drawingml.chart+xml"/>
  <Override PartName="/word/charts/chart24.xml" ContentType="application/vnd.openxmlformats-officedocument.drawingml.chart+xml"/>
  <Override PartName="/word/charts/colors8.xml" ContentType="application/vnd.ms-office.chartcolorstyle+xml"/>
  <Override PartName="/word/charts/colors17.xml" ContentType="application/vnd.ms-office.chartcolorstyle+xml"/>
  <Override PartName="/word/charts/colors42.xml" ContentType="application/vnd.ms-office.chartcolorstyle+xml"/>
  <Override PartName="/word/charts/chart33.xml" ContentType="application/vnd.openxmlformats-officedocument.drawingml.chart+xml"/>
  <Override PartName="/word/charts/chart8.xml" ContentType="application/vnd.openxmlformats-officedocument.drawingml.chart+xml"/>
  <Override PartName="/word/charts/colors26.xml" ContentType="application/vnd.ms-office.chartcolorstyle+xml"/>
  <Override PartName="/word/settings.xml" ContentType="application/vnd.openxmlformats-officedocument.wordprocessingml.settings+xml"/>
  <Override PartName="/word/charts/style35.xml" ContentType="application/vnd.ms-office.chartstyle+xml"/>
  <Override PartName="/word/charts/style18.xml" ContentType="application/vnd.ms-office.chartstyle+xml"/>
  <Override PartName="/word/charts/style43.xml" ContentType="application/vnd.ms-office.chartstyle+xml"/>
  <Override PartName="/word/charts/style26.xml" ContentType="application/vnd.ms-office.chartstyle+xml"/>
  <Override PartName="/word/charts/style1.xml" ContentType="application/vnd.ms-office.chartstyle+xml"/>
  <Override PartName="/word/charts/colors32.xml" ContentType="application/vnd.ms-office.chartcolorstyle+xml"/>
  <Override PartName="/word/charts/chart43.xml" ContentType="application/vnd.openxmlformats-officedocument.drawingml.chart+xml"/>
  <Override PartName="/word/charts/colors23.xml" ContentType="application/vnd.ms-office.chartcolorstyle+xml"/>
  <Override PartName="/word/charts/colors36.xml" ContentType="application/vnd.ms-office.chartcolorstyle+xml"/>
  <Override PartName="/docProps/app.xml" ContentType="application/vnd.openxmlformats-officedocument.extended-properties+xml"/>
  <Override PartName="/word/charts/colors1.xml" ContentType="application/vnd.ms-office.chartcolorstyle+xml"/>
  <Override PartName="/word/charts/chart35.xml" ContentType="application/vnd.openxmlformats-officedocument.drawingml.chart+xml"/>
  <Override PartName="/word/charts/style8.xml" ContentType="application/vnd.ms-office.chartstyle+xml"/>
  <Override PartName="/word/charts/chart22.xml" ContentType="application/vnd.openxmlformats-officedocument.drawingml.chart+xml"/>
  <Override PartName="/word/charts/colors28.xml" ContentType="application/vnd.ms-office.chartcolorstyle+xml"/>
  <Override PartName="/word/charts/colors15.xml" ContentType="application/vnd.ms-office.chartcolorstyle+xml"/>
  <Override PartName="/word/charts/colors40.xml" ContentType="application/vnd.ms-office.chartcolorstyle+xml"/>
  <Override PartName="/word/charts/chart18.xml" ContentType="application/vnd.openxmlformats-officedocument.drawingml.chart+xml"/>
  <Override PartName="/docProps/custom.xml" ContentType="application/vnd.openxmlformats-officedocument.custom-properties+xml"/>
  <Override PartName="/word/charts/style11.xml" ContentType="application/vnd.ms-office.chartstyle+xml"/>
  <Override PartName="/word/charts/chart6.xml" ContentType="application/vnd.openxmlformats-officedocument.drawingml.chart+xml"/>
  <Override PartName="/word/charts/style41.xml" ContentType="application/vnd.ms-office.chartstyle+xml"/>
  <Override PartName="/word/charts/colors21.xml" ContentType="application/vnd.ms-office.chartcolorstyle+xml"/>
  <Override PartName="/word/charts/colors34.xml" ContentType="application/vnd.ms-office.chartcolorstyle+xml"/>
  <Override PartName="/word/charts/style24.xml" ContentType="application/vnd.ms-office.chartstyle+xml"/>
  <Override PartName="/word/charts/style37.xml" ContentType="application/vnd.ms-office.chartstyle+xml"/>
  <Override PartName="/word/charts/style31.xml" ContentType="application/vnd.ms-office.chartstyle+xml"/>
  <Override PartName="/word/charts/style15.xml" ContentType="application/vnd.ms-office.chartstyle+xml"/>
  <Override PartName="/word/charts/chart11.xml" ContentType="application/vnd.openxmlformats-officedocument.drawingml.chart+xml"/>
  <Override PartName="/word/charts/style6.xml" ContentType="application/vnd.ms-office.chartstyle+xml"/>
  <Override PartName="/word/numbering.xml" ContentType="application/vnd.openxmlformats-officedocument.wordprocessingml.numbering+xml"/>
  <Override PartName="/word/charts/style23.xml" ContentType="application/vnd.ms-office.chartstyle+xml"/>
  <Override PartName="/word/charts/colors11.xml" ContentType="application/vnd.ms-office.chartcolorstyle+xml"/>
  <Override PartName="/word/charts/chart4.xml" ContentType="application/vnd.openxmlformats-officedocument.drawingml.chart+xml"/>
  <Override PartName="/word/charts/colors4.xml" ContentType="application/vnd.ms-office.chartcolorstyle+xml"/>
  <Override PartName="/word/charts/chart38.xml" ContentType="application/vnd.openxmlformats-officedocument.drawingml.chart+xml"/>
  <Override PartName="/word/charts/chart21.xml" ContentType="application/vnd.openxmlformats-officedocument.drawingml.chart+xml"/>
  <Override PartName="/word/charts/style13.xml" ContentType="application/vnd.ms-office.chartstyle+xml"/>
  <Override PartName="/word/charts/colors31.xml" ContentType="application/vnd.ms-office.chartcolorstyle+xml"/>
  <Override PartName="/word/charts/chart13.xml" ContentType="application/vnd.openxmlformats-officedocument.drawingml.chart+xml"/>
  <Override PartName="/word/charts/colors44.xml" ContentType="application/vnd.ms-office.chartcolorstyle+xml"/>
  <Override PartName="/word/charts/colors6.xml" ContentType="application/vnd.ms-office.chartcolorstyle+xml"/>
  <Override PartName="/word/charts/chart26.xml" ContentType="application/vnd.openxmlformats-officedocument.drawingml.chart+xml"/>
  <Override PartName="/word/charts/style17.xml" ContentType="application/vnd.ms-office.chartstyle+xml"/>
  <Override PartName="/docProps/core.xml" ContentType="application/vnd.openxmlformats-package.core-properties+xml"/>
  <Override PartName="/word/charts/style2.xml" ContentType="application/vnd.ms-office.chartstyle+xml"/>
  <Override PartName="/word/charts/chart44.xml" ContentType="application/vnd.openxmlformats-officedocument.drawingml.chart+xml"/>
  <Override PartName="/word/charts/style4.xml" ContentType="application/vnd.ms-office.chartstyle+xml"/>
  <Override PartName="/word/charts/style21.xml" ContentType="application/vnd.ms-office.chartstyle+xml"/>
  <Override PartName="/word/charts/chart31.xml" ContentType="application/vnd.openxmlformats-officedocument.drawingml.chart+xml"/>
  <Override PartName="/word/charts/colors13.xml" ContentType="application/vnd.ms-office.chartcolorstyle+xml"/>
  <Override PartName="/word/charts/chart28.xml" ContentType="application/vnd.openxmlformats-officedocument.drawingml.chart+xml"/>
  <Override PartName="/word/charts/chart2.xml" ContentType="application/vnd.openxmlformats-officedocument.drawingml.chart+xml"/>
  <Override PartName="/word/charts/colors38.xml" ContentType="application/vnd.ms-office.chartcolorstyle+xml"/>
  <Override PartName="/word/charts/chart15.xml" ContentType="application/vnd.openxmlformats-officedocument.drawingml.chart+xml"/>
  <Override PartName="/word/charts/style33.xml" ContentType="application/vnd.ms-office.chartstyle+xml"/>
  <Override PartName="/word/charts/colors25.xml" ContentType="application/vnd.ms-office.chartcolorstyle+xml"/>
  <Override PartName="/word/theme/theme1.xml" ContentType="application/vnd.openxmlformats-officedocument.theme+xml"/>
  <Override PartName="/word/charts/colors33.xml" ContentType="application/vnd.ms-office.chartcolorstyle+xml"/>
  <Override PartName="/word/charts/style19.xml" ContentType="application/vnd.ms-office.chartstyle+xml"/>
  <Override PartName="/word/charts/chart40.xml" ContentType="application/vnd.openxmlformats-officedocument.drawingml.chart+xml"/>
  <Override PartName="/word/charts/style27.xml" ContentType="application/vnd.ms-office.chartstyle+xml"/>
  <Override PartName="/word/charts/style10.xml" ContentType="application/vnd.ms-office.chartstyle+xml"/>
  <Override PartName="/word/charts/style36.xml" ContentType="application/vnd.ms-office.chartstyle+xml"/>
  <Override PartName="/word/charts/chart17.xml" ContentType="application/vnd.openxmlformats-officedocument.drawingml.chart+xml"/>
  <Override PartName="/word/charts/chart42.xml" ContentType="application/vnd.openxmlformats-officedocument.drawingml.chart+xml"/>
  <Override PartName="/word/charts/style9.xml" ContentType="application/vnd.ms-office.chartstyle+xml"/>
  <Override PartName="/word/charts/colors24.xml" ContentType="application/vnd.ms-office.chartcolorstyle+xml"/>
  <Override PartName="/word/charts/chart9.xml" ContentType="application/vnd.openxmlformats-officedocument.drawingml.chart+xml"/>
  <Override PartName="/word/charts/colors9.xml" ContentType="application/vnd.ms-office.chartcolorstyle+xml"/>
  <Override PartName="/word/charts/colors18.xml" ContentType="application/vnd.ms-office.chartcolorstyle+xml"/>
  <Override PartName="/word/charts/chart25.xml" ContentType="application/vnd.openxmlformats-officedocument.drawingml.chart+xml"/>
  <Override PartName="/word/charts/colors41.xml" ContentType="application/vnd.ms-office.chartcolorstyle+xml"/>
  <Override PartName="/word/document.xml" ContentType="application/vnd.openxmlformats-officedocument.wordprocessingml.document.main+xml"/>
  <Override PartName="/word/charts/style44.xml" ContentType="application/vnd.ms-office.chartstyle+xml"/>
  <Override PartName="/word/charts/colors27.xml" ContentType="application/vnd.ms-office.chartcolorstyle+xml"/>
  <Override PartName="/word/charts/chart34.xml" ContentType="application/vnd.openxmlformats-officedocument.drawingml.chart+xml"/>
  <Override PartName="/word/styles.xml" ContentType="application/vnd.openxmlformats-officedocument.wordprocessingml.styles+xml"/>
  <Override PartName="/word/charts/style12.xml" ContentType="application/vnd.ms-office.chartstyle+xml"/>
  <Override PartName="/word/fontTable.xml" ContentType="application/vnd.openxmlformats-officedocument.wordprocessingml.fontTable+xml"/>
  <Override PartName="/word/charts/chart5.xml" ContentType="application/vnd.openxmlformats-officedocument.drawingml.chart+xml"/>
  <Override PartName="/word/charts/style42.xml" ContentType="application/vnd.ms-office.chartstyle+xml"/>
  <Override PartName="/word/charts/style38.xml" ContentType="application/vnd.ms-office.chartstyle+xml"/>
  <Override PartName="/word/charts/style25.xml" ContentType="application/vnd.ms-office.chartstyle+xml"/>
  <Override PartName="/word/charts/colors35.xml" ContentType="application/vnd.ms-office.chartcolorstyle+xml"/>
  <Override PartName="/word/charts/colors22.xml" ContentType="application/vnd.ms-office.chartcolorstyle+xml"/>
  <Override PartName="/word/charts/chart23.xml" ContentType="application/vnd.openxmlformats-officedocument.drawingml.chart+xml"/>
  <Override PartName="/word/charts/colors29.xml" ContentType="application/vnd.ms-office.chartcolorstyle+xml"/>
  <Override PartName="/word/charts/chart36.xml" ContentType="application/vnd.openxmlformats-officedocument.drawingml.chart+xml"/>
  <Override PartName="/word/charts/colors2.xml" ContentType="application/vnd.ms-office.chartcolorstyle+xml"/>
  <Override PartName="/word/charts/chart10.xml" ContentType="application/vnd.openxmlformats-officedocument.drawingml.chart+xml"/>
  <Override PartName="/word/charts/colors16.xml" ContentType="application/vnd.ms-office.chartcolorstyle+xml"/>
  <Override PartName="/word/charts/chart7.xml" ContentType="application/vnd.openxmlformats-officedocument.drawingml.chart+xml"/>
  <Override PartName="/word/charts/style7.xml" ContentType="application/vnd.ms-office.chartstyle+xml"/>
  <Override PartName="/word/charts/chart19.xml" ContentType="application/vnd.openxmlformats-officedocument.drawingml.chart+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3"/>
        <w:ind w:right="56"/>
        <w:jc w:val="center"/>
        <w:rPr/>
      </w:pPr>
      <w:r>
        <w:rPr>
          <w:noProof/>
        </w:rPr>
        <w:drawing>
          <wp:anchor distT="0" distB="0" distL="114300" distR="114300" simplePos="false" relativeHeight="2" behindDoc="false" locked="false" layoutInCell="true" allowOverlap="false">
            <wp:simplePos x="0" y="0"/>
            <wp:positionH relativeFrom="column">
              <wp:posOffset>5417820</wp:posOffset>
            </wp:positionH>
            <wp:positionV relativeFrom="paragraph">
              <wp:posOffset>-30732</wp:posOffset>
            </wp:positionV>
            <wp:extent cx="731520" cy="731520"/>
            <wp:effectExtent l="0" t="0" r="0" b="0"/>
            <wp:wrapSquare wrapText="bothSides"/>
            <wp:docPr id="1026" name="Imagen 72" descr="Imagen de la pantalla de un celular con letras&#10;&#10;Descripción generada automáticamente con confianza baja"/>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n 72"/>
                    <pic:cNvPicPr/>
                  </pic:nvPicPr>
                  <pic:blipFill>
                    <a:blip r:embed="rId2" cstate="print"/>
                    <a:srcRect l="0" t="0" r="0" b="0"/>
                    <a:stretch/>
                  </pic:blipFill>
                  <pic:spPr>
                    <a:xfrm rot="0">
                      <a:off x="0" y="0"/>
                      <a:ext cx="731520" cy="731520"/>
                    </a:xfrm>
                    <a:prstGeom prst="rect"/>
                  </pic:spPr>
                </pic:pic>
              </a:graphicData>
            </a:graphic>
          </wp:anchor>
        </w:drawing>
      </w:r>
      <w:r>
        <w:rPr>
          <w:noProof/>
        </w:rPr>
        <w:drawing>
          <wp:anchor distT="0" distB="0" distL="114300" distR="114300" simplePos="false" relativeHeight="3" behindDoc="false" locked="false" layoutInCell="true" allowOverlap="false">
            <wp:simplePos x="0" y="0"/>
            <wp:positionH relativeFrom="column">
              <wp:posOffset>205739</wp:posOffset>
            </wp:positionH>
            <wp:positionV relativeFrom="paragraph">
              <wp:posOffset>-30732</wp:posOffset>
            </wp:positionV>
            <wp:extent cx="800100" cy="746760"/>
            <wp:effectExtent l="0" t="0" r="0" b="0"/>
            <wp:wrapSquare wrapText="bothSides"/>
            <wp:docPr id="1027" name="Imagen 70" descr="Logotipo&#10;&#10;Descripción generada automáticamente con confianza media"/>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n 70"/>
                    <pic:cNvPicPr/>
                  </pic:nvPicPr>
                  <pic:blipFill>
                    <a:blip r:embed="rId3" cstate="print"/>
                    <a:srcRect l="0" t="0" r="0" b="0"/>
                    <a:stretch/>
                  </pic:blipFill>
                  <pic:spPr>
                    <a:xfrm rot="0">
                      <a:off x="0" y="0"/>
                      <a:ext cx="800100" cy="746760"/>
                    </a:xfrm>
                    <a:prstGeom prst="rect"/>
                  </pic:spPr>
                </pic:pic>
              </a:graphicData>
            </a:graphic>
          </wp:anchor>
        </w:drawing>
      </w:r>
      <w:r>
        <w:t>Universidad Tecnológica de Panamá</w:t>
      </w:r>
    </w:p>
    <w:p>
      <w:pPr>
        <w:pStyle w:val="style0"/>
        <w:spacing w:after="5" w:lineRule="auto" w:line="249"/>
        <w:ind w:left="679" w:right="43"/>
        <w:jc w:val="center"/>
        <w:rPr/>
      </w:pPr>
      <w:r>
        <w:t>Facultad de Ingeniería de Sistemas Computacionales</w:t>
      </w:r>
    </w:p>
    <w:p>
      <w:pPr>
        <w:pStyle w:val="style0"/>
        <w:spacing w:after="3"/>
        <w:ind w:right="56"/>
        <w:jc w:val="center"/>
        <w:rPr/>
      </w:pPr>
      <w:r>
        <w:t>Licenciatura en Ingeniería de Software</w:t>
      </w:r>
    </w:p>
    <w:p>
      <w:pPr>
        <w:pStyle w:val="style0"/>
        <w:spacing w:after="0"/>
        <w:ind w:left="324" w:right="56"/>
        <w:jc w:val="center"/>
        <w:rPr/>
      </w:pPr>
    </w:p>
    <w:p>
      <w:pPr>
        <w:pStyle w:val="style0"/>
        <w:spacing w:after="216"/>
        <w:ind w:left="1765"/>
        <w:jc w:val="center"/>
        <w:rPr/>
      </w:pPr>
    </w:p>
    <w:p>
      <w:pPr>
        <w:pStyle w:val="style0"/>
        <w:spacing w:after="3"/>
        <w:ind w:right="56"/>
        <w:jc w:val="center"/>
        <w:rPr/>
      </w:pPr>
      <w:r>
        <w:t>Estadística con apoyo informático</w:t>
      </w:r>
    </w:p>
    <w:p>
      <w:pPr>
        <w:pStyle w:val="style0"/>
        <w:spacing w:after="0"/>
        <w:ind w:left="324"/>
        <w:jc w:val="center"/>
        <w:rPr/>
      </w:pPr>
    </w:p>
    <w:p>
      <w:pPr>
        <w:pStyle w:val="style0"/>
        <w:spacing w:after="0"/>
        <w:ind w:left="324"/>
        <w:jc w:val="center"/>
        <w:rPr/>
      </w:pPr>
    </w:p>
    <w:p>
      <w:pPr>
        <w:pStyle w:val="style0"/>
        <w:spacing w:after="216"/>
        <w:ind w:left="324"/>
        <w:jc w:val="center"/>
        <w:rPr/>
      </w:pPr>
    </w:p>
    <w:p>
      <w:pPr>
        <w:pStyle w:val="style0"/>
        <w:spacing w:after="3"/>
        <w:ind w:right="52"/>
        <w:jc w:val="center"/>
        <w:rPr/>
      </w:pPr>
      <w:r>
        <w:t>Proyecto Final</w:t>
      </w:r>
    </w:p>
    <w:p>
      <w:pPr>
        <w:pStyle w:val="style0"/>
        <w:spacing w:after="217"/>
        <w:ind w:left="324"/>
        <w:jc w:val="center"/>
        <w:rPr/>
      </w:pPr>
    </w:p>
    <w:p>
      <w:pPr>
        <w:pStyle w:val="style0"/>
        <w:spacing w:after="216"/>
        <w:ind w:left="324"/>
        <w:jc w:val="center"/>
        <w:rPr/>
      </w:pPr>
    </w:p>
    <w:p>
      <w:pPr>
        <w:pStyle w:val="style0"/>
        <w:spacing w:after="3"/>
        <w:ind w:right="55"/>
        <w:jc w:val="center"/>
        <w:rPr/>
      </w:pPr>
      <w:r>
        <w:t>Tema:</w:t>
      </w:r>
    </w:p>
    <w:p>
      <w:pPr>
        <w:pStyle w:val="style0"/>
        <w:spacing w:after="3"/>
        <w:ind w:right="53"/>
        <w:jc w:val="center"/>
        <w:rPr/>
      </w:pPr>
      <w:r>
        <w:t>Análisis estadístico de bases de datos</w:t>
      </w:r>
    </w:p>
    <w:p>
      <w:pPr>
        <w:pStyle w:val="style0"/>
        <w:spacing w:after="0"/>
        <w:ind w:left="324"/>
        <w:jc w:val="center"/>
        <w:rPr/>
      </w:pPr>
    </w:p>
    <w:p>
      <w:pPr>
        <w:pStyle w:val="style0"/>
        <w:spacing w:after="216"/>
        <w:ind w:left="324"/>
        <w:jc w:val="center"/>
        <w:rPr/>
      </w:pPr>
    </w:p>
    <w:p>
      <w:pPr>
        <w:pStyle w:val="style0"/>
        <w:spacing w:after="216"/>
        <w:ind w:left="324"/>
        <w:jc w:val="center"/>
        <w:rPr/>
      </w:pPr>
    </w:p>
    <w:p>
      <w:pPr>
        <w:pStyle w:val="style0"/>
        <w:spacing w:after="3"/>
        <w:ind w:right="56"/>
        <w:jc w:val="center"/>
        <w:rPr/>
      </w:pPr>
      <w:r>
        <w:t>Facilitador:</w:t>
      </w:r>
    </w:p>
    <w:p>
      <w:pPr>
        <w:pStyle w:val="style0"/>
        <w:spacing w:after="3"/>
        <w:ind w:right="55"/>
        <w:jc w:val="center"/>
        <w:rPr/>
      </w:pPr>
      <w:r>
        <w:t xml:space="preserve">PhD </w:t>
      </w:r>
      <w:r>
        <w:t>Ing. Juan Castillo</w:t>
      </w:r>
      <w:r>
        <w:t xml:space="preserve"> </w:t>
      </w:r>
    </w:p>
    <w:p>
      <w:pPr>
        <w:pStyle w:val="style0"/>
        <w:spacing w:after="0"/>
        <w:ind w:left="324"/>
        <w:jc w:val="center"/>
        <w:rPr/>
      </w:pPr>
    </w:p>
    <w:p>
      <w:pPr>
        <w:pStyle w:val="style0"/>
        <w:spacing w:after="0"/>
        <w:ind w:left="324"/>
        <w:jc w:val="center"/>
        <w:rPr/>
      </w:pPr>
    </w:p>
    <w:p>
      <w:pPr>
        <w:pStyle w:val="style0"/>
        <w:spacing w:after="219"/>
        <w:ind w:left="324"/>
        <w:jc w:val="center"/>
        <w:rPr/>
      </w:pPr>
    </w:p>
    <w:p>
      <w:pPr>
        <w:pStyle w:val="style0"/>
        <w:spacing w:after="3"/>
        <w:ind w:right="56"/>
        <w:jc w:val="center"/>
        <w:rPr/>
      </w:pPr>
      <w:r>
        <w:t>Nombre:</w:t>
      </w:r>
    </w:p>
    <w:p>
      <w:pPr>
        <w:pStyle w:val="style0"/>
        <w:spacing w:after="3"/>
        <w:ind w:right="55"/>
        <w:jc w:val="center"/>
        <w:rPr/>
      </w:pPr>
      <w:r>
        <w:t>Lucía Tapia 8-990-2345</w:t>
      </w:r>
    </w:p>
    <w:p>
      <w:pPr>
        <w:pStyle w:val="style0"/>
        <w:spacing w:after="0"/>
        <w:ind w:left="324"/>
        <w:jc w:val="center"/>
        <w:rPr/>
      </w:pPr>
    </w:p>
    <w:p>
      <w:pPr>
        <w:pStyle w:val="style0"/>
        <w:spacing w:after="216"/>
        <w:ind w:left="324"/>
        <w:jc w:val="center"/>
        <w:rPr/>
      </w:pPr>
    </w:p>
    <w:p>
      <w:pPr>
        <w:pStyle w:val="style0"/>
        <w:spacing w:after="3"/>
        <w:jc w:val="center"/>
        <w:rPr/>
      </w:pPr>
      <w:r>
        <w:t>Grupo:</w:t>
      </w:r>
    </w:p>
    <w:p>
      <w:pPr>
        <w:pStyle w:val="style0"/>
        <w:spacing w:after="3"/>
        <w:ind w:right="55"/>
        <w:jc w:val="center"/>
        <w:rPr/>
      </w:pPr>
      <w:r>
        <w:t>1SF-131</w:t>
      </w:r>
    </w:p>
    <w:p>
      <w:pPr>
        <w:pStyle w:val="style0"/>
        <w:spacing w:after="0"/>
        <w:ind w:left="324"/>
        <w:jc w:val="center"/>
        <w:rPr/>
      </w:pPr>
    </w:p>
    <w:p>
      <w:pPr>
        <w:pStyle w:val="style0"/>
        <w:spacing w:after="0"/>
        <w:ind w:left="324"/>
        <w:jc w:val="center"/>
        <w:rPr/>
      </w:pPr>
    </w:p>
    <w:p>
      <w:pPr>
        <w:pStyle w:val="style0"/>
        <w:spacing w:after="0"/>
        <w:ind w:left="324"/>
        <w:jc w:val="center"/>
        <w:rPr/>
      </w:pPr>
    </w:p>
    <w:p>
      <w:pPr>
        <w:pStyle w:val="style0"/>
        <w:spacing w:after="0"/>
        <w:ind w:left="324"/>
        <w:jc w:val="center"/>
        <w:rPr/>
      </w:pPr>
    </w:p>
    <w:p>
      <w:pPr>
        <w:pStyle w:val="style0"/>
        <w:spacing w:after="3"/>
        <w:jc w:val="center"/>
        <w:rPr/>
      </w:pPr>
      <w:r>
        <w:t>Fecha de entrega:</w:t>
      </w:r>
    </w:p>
    <w:p>
      <w:pPr>
        <w:pStyle w:val="style0"/>
        <w:spacing w:after="3"/>
        <w:jc w:val="center"/>
        <w:rPr/>
      </w:pPr>
      <w:r>
        <w:t>10-7-2023</w:t>
      </w:r>
    </w:p>
    <w:p>
      <w:pPr>
        <w:pStyle w:val="style0"/>
        <w:jc w:val="center"/>
        <w:rPr>
          <w:rFonts w:ascii="Arial" w:cs="Arial" w:hAnsi="Arial"/>
          <w:sz w:val="28"/>
          <w:szCs w:val="28"/>
        </w:rPr>
      </w:pPr>
    </w:p>
    <w:p>
      <w:pPr>
        <w:pStyle w:val="style0"/>
        <w:jc w:val="left"/>
        <w:rPr>
          <w:b/>
          <w:bCs/>
          <w:sz w:val="24"/>
          <w:szCs w:val="24"/>
          <w:lang w:val="es-ES"/>
        </w:rPr>
      </w:pPr>
    </w:p>
    <w:p>
      <w:pPr>
        <w:pStyle w:val="style0"/>
        <w:jc w:val="left"/>
        <w:rPr>
          <w:b/>
          <w:bCs/>
          <w:sz w:val="24"/>
          <w:szCs w:val="24"/>
          <w:lang w:val="es-ES"/>
        </w:rPr>
      </w:pPr>
    </w:p>
    <w:p>
      <w:pPr>
        <w:pStyle w:val="style0"/>
        <w:jc w:val="left"/>
        <w:rPr>
          <w:b/>
          <w:bCs/>
          <w:sz w:val="24"/>
          <w:szCs w:val="24"/>
          <w:lang w:val="es-ES"/>
        </w:rPr>
      </w:pPr>
    </w:p>
    <w:p>
      <w:pPr>
        <w:pStyle w:val="style0"/>
        <w:jc w:val="left"/>
        <w:rPr>
          <w:b/>
          <w:bCs/>
          <w:sz w:val="24"/>
          <w:szCs w:val="24"/>
          <w:lang w:val="es-ES"/>
        </w:rPr>
      </w:pPr>
      <w:r>
        <w:rPr>
          <w:b/>
          <w:bCs/>
          <w:sz w:val="24"/>
          <w:szCs w:val="24"/>
          <w:lang w:val="en-US"/>
        </w:rPr>
        <w:t>INTRODUCCI</w:t>
      </w:r>
      <w:r>
        <w:rPr>
          <w:b/>
          <w:bCs/>
          <w:sz w:val="24"/>
          <w:szCs w:val="24"/>
          <w:lang w:val="es-US"/>
        </w:rPr>
        <w:t>Ó</w:t>
      </w:r>
      <w:r>
        <w:rPr>
          <w:b/>
          <w:bCs/>
          <w:sz w:val="24"/>
          <w:szCs w:val="24"/>
          <w:lang w:val="en-US"/>
        </w:rPr>
        <w:t>N</w:t>
      </w:r>
    </w:p>
    <w:p>
      <w:pPr>
        <w:pStyle w:val="style0"/>
        <w:jc w:val="left"/>
        <w:rPr>
          <w:b/>
          <w:bCs/>
          <w:sz w:val="24"/>
          <w:szCs w:val="24"/>
          <w:lang w:val="es-ES"/>
        </w:rPr>
      </w:pPr>
      <w:r>
        <w:rPr>
          <w:b/>
          <w:bCs/>
          <w:sz w:val="24"/>
          <w:szCs w:val="24"/>
          <w:lang w:val="en-US"/>
        </w:rPr>
        <w:t>En el siguiente proyecto final, tenemos la tarea de investigar 10 bases de datos haciendomos preguntas y poner aprueba nuestra curiosidad.</w:t>
      </w:r>
    </w:p>
    <w:p>
      <w:pPr>
        <w:pStyle w:val="style0"/>
        <w:jc w:val="left"/>
        <w:rPr>
          <w:b/>
          <w:bCs/>
          <w:sz w:val="24"/>
          <w:szCs w:val="24"/>
          <w:lang w:val="es-ES"/>
        </w:rPr>
      </w:pPr>
      <w:r>
        <w:rPr>
          <w:b/>
          <w:bCs/>
          <w:sz w:val="24"/>
          <w:szCs w:val="24"/>
          <w:lang w:val="en-US"/>
        </w:rPr>
        <w:t>El presente proyecto busca no solo desarrollar habilidades de análisis estadístico, sino también demostrar la utilidad y aplicabilidad de la estadística en la resolución de problemas del mundo real. Se espera que los resultados obtenidos contribuyan al conocimiento en las áreas temáticas estudiadas y que el enfoque metodológico empleado sea de referencia para futuros proyectos de análisis de datos.</w:t>
      </w:r>
    </w:p>
    <w:p>
      <w:pPr>
        <w:pStyle w:val="style0"/>
        <w:jc w:val="left"/>
        <w:rPr>
          <w:b/>
          <w:bCs/>
          <w:sz w:val="24"/>
          <w:szCs w:val="24"/>
          <w:lang w:val="es-ES"/>
        </w:rPr>
      </w:pPr>
    </w:p>
    <w:p>
      <w:pPr>
        <w:pStyle w:val="style0"/>
        <w:jc w:val="left"/>
        <w:rPr>
          <w:b/>
          <w:bCs/>
          <w:sz w:val="24"/>
          <w:szCs w:val="24"/>
          <w:lang w:val="es-ES"/>
        </w:rPr>
      </w:pPr>
    </w:p>
    <w:p>
      <w:pPr>
        <w:pStyle w:val="style0"/>
        <w:jc w:val="left"/>
        <w:rPr>
          <w:b/>
          <w:bCs/>
          <w:sz w:val="24"/>
          <w:szCs w:val="24"/>
          <w:lang w:val="es-ES"/>
        </w:rPr>
      </w:pPr>
    </w:p>
    <w:p>
      <w:pPr>
        <w:pStyle w:val="style0"/>
        <w:jc w:val="left"/>
        <w:rPr>
          <w:b/>
          <w:bCs/>
          <w:sz w:val="24"/>
          <w:szCs w:val="24"/>
          <w:lang w:val="es-ES"/>
        </w:rPr>
      </w:pPr>
    </w:p>
    <w:p>
      <w:pPr>
        <w:pStyle w:val="style0"/>
        <w:jc w:val="left"/>
        <w:rPr>
          <w:b/>
          <w:bCs/>
          <w:sz w:val="24"/>
          <w:szCs w:val="24"/>
          <w:lang w:val="es-ES"/>
        </w:rPr>
      </w:pPr>
    </w:p>
    <w:p>
      <w:pPr>
        <w:pStyle w:val="style0"/>
        <w:jc w:val="left"/>
        <w:rPr>
          <w:b/>
          <w:bCs/>
          <w:sz w:val="24"/>
          <w:szCs w:val="24"/>
          <w:lang w:val="es-ES"/>
        </w:rPr>
      </w:pPr>
    </w:p>
    <w:p>
      <w:pPr>
        <w:pStyle w:val="style0"/>
        <w:jc w:val="left"/>
        <w:rPr>
          <w:b/>
          <w:bCs/>
          <w:sz w:val="24"/>
          <w:szCs w:val="24"/>
          <w:lang w:val="es-ES"/>
        </w:rPr>
      </w:pPr>
    </w:p>
    <w:p>
      <w:pPr>
        <w:pStyle w:val="style0"/>
        <w:jc w:val="left"/>
        <w:rPr>
          <w:b/>
          <w:bCs/>
          <w:sz w:val="24"/>
          <w:szCs w:val="24"/>
          <w:lang w:val="es-ES"/>
        </w:rPr>
      </w:pPr>
    </w:p>
    <w:p>
      <w:pPr>
        <w:pStyle w:val="style0"/>
        <w:jc w:val="left"/>
        <w:rPr>
          <w:b/>
          <w:bCs/>
          <w:sz w:val="24"/>
          <w:szCs w:val="24"/>
          <w:lang w:val="es-ES"/>
        </w:rPr>
      </w:pPr>
    </w:p>
    <w:p>
      <w:pPr>
        <w:pStyle w:val="style0"/>
        <w:jc w:val="left"/>
        <w:rPr>
          <w:b/>
          <w:bCs/>
          <w:sz w:val="24"/>
          <w:szCs w:val="24"/>
          <w:lang w:val="es-ES"/>
        </w:rPr>
      </w:pPr>
    </w:p>
    <w:p>
      <w:pPr>
        <w:pStyle w:val="style0"/>
        <w:jc w:val="left"/>
        <w:rPr>
          <w:b/>
          <w:bCs/>
          <w:sz w:val="24"/>
          <w:szCs w:val="24"/>
          <w:lang w:val="es-ES"/>
        </w:rPr>
      </w:pPr>
    </w:p>
    <w:p>
      <w:pPr>
        <w:pStyle w:val="style0"/>
        <w:jc w:val="left"/>
        <w:rPr>
          <w:b/>
          <w:bCs/>
          <w:sz w:val="24"/>
          <w:szCs w:val="24"/>
          <w:lang w:val="es-ES"/>
        </w:rPr>
      </w:pPr>
    </w:p>
    <w:p>
      <w:pPr>
        <w:pStyle w:val="style0"/>
        <w:jc w:val="left"/>
        <w:rPr>
          <w:b/>
          <w:bCs/>
          <w:sz w:val="24"/>
          <w:szCs w:val="24"/>
          <w:lang w:val="es-ES"/>
        </w:rPr>
      </w:pPr>
    </w:p>
    <w:p>
      <w:pPr>
        <w:pStyle w:val="style0"/>
        <w:jc w:val="left"/>
        <w:rPr>
          <w:b/>
          <w:bCs/>
          <w:sz w:val="24"/>
          <w:szCs w:val="24"/>
          <w:lang w:val="es-ES"/>
        </w:rPr>
      </w:pPr>
    </w:p>
    <w:p>
      <w:pPr>
        <w:pStyle w:val="style0"/>
        <w:jc w:val="left"/>
        <w:rPr>
          <w:b/>
          <w:bCs/>
          <w:sz w:val="24"/>
          <w:szCs w:val="24"/>
          <w:lang w:val="es-ES"/>
        </w:rPr>
      </w:pPr>
    </w:p>
    <w:p>
      <w:pPr>
        <w:pStyle w:val="style0"/>
        <w:jc w:val="left"/>
        <w:rPr>
          <w:b/>
          <w:bCs/>
          <w:sz w:val="24"/>
          <w:szCs w:val="24"/>
          <w:lang w:val="es-ES"/>
        </w:rPr>
      </w:pPr>
    </w:p>
    <w:p>
      <w:pPr>
        <w:pStyle w:val="style0"/>
        <w:jc w:val="left"/>
        <w:rPr>
          <w:b/>
          <w:bCs/>
          <w:sz w:val="24"/>
          <w:szCs w:val="24"/>
          <w:lang w:val="es-ES"/>
        </w:rPr>
      </w:pPr>
    </w:p>
    <w:p>
      <w:pPr>
        <w:pStyle w:val="style0"/>
        <w:jc w:val="left"/>
        <w:rPr>
          <w:b/>
          <w:bCs/>
          <w:sz w:val="24"/>
          <w:szCs w:val="24"/>
          <w:lang w:val="es-ES"/>
        </w:rPr>
      </w:pPr>
    </w:p>
    <w:p>
      <w:pPr>
        <w:pStyle w:val="style0"/>
        <w:jc w:val="left"/>
        <w:rPr>
          <w:b/>
          <w:bCs/>
          <w:sz w:val="24"/>
          <w:szCs w:val="24"/>
          <w:lang w:val="es-ES"/>
        </w:rPr>
      </w:pPr>
    </w:p>
    <w:p>
      <w:pPr>
        <w:pStyle w:val="style0"/>
        <w:jc w:val="left"/>
        <w:rPr>
          <w:b/>
          <w:bCs/>
          <w:sz w:val="24"/>
          <w:szCs w:val="24"/>
          <w:lang w:val="es-ES"/>
        </w:rPr>
      </w:pPr>
    </w:p>
    <w:p>
      <w:pPr>
        <w:pStyle w:val="style0"/>
        <w:jc w:val="left"/>
        <w:rPr>
          <w:b/>
          <w:bCs/>
          <w:sz w:val="24"/>
          <w:szCs w:val="24"/>
          <w:lang w:val="es-ES"/>
        </w:rPr>
      </w:pPr>
    </w:p>
    <w:p>
      <w:pPr>
        <w:pStyle w:val="style0"/>
        <w:jc w:val="left"/>
        <w:rPr>
          <w:b/>
          <w:bCs/>
          <w:sz w:val="24"/>
          <w:szCs w:val="24"/>
          <w:lang w:val="es-ES"/>
        </w:rPr>
      </w:pPr>
    </w:p>
    <w:p>
      <w:pPr>
        <w:pStyle w:val="style0"/>
        <w:jc w:val="left"/>
        <w:rPr>
          <w:b/>
          <w:bCs/>
          <w:sz w:val="24"/>
          <w:szCs w:val="24"/>
          <w:lang w:val="es-ES"/>
        </w:rPr>
      </w:pPr>
    </w:p>
    <w:p>
      <w:pPr>
        <w:pStyle w:val="style0"/>
        <w:jc w:val="left"/>
        <w:rPr>
          <w:b/>
          <w:bCs/>
          <w:sz w:val="24"/>
          <w:szCs w:val="24"/>
          <w:lang w:val="es-ES"/>
        </w:rPr>
      </w:pPr>
    </w:p>
    <w:p>
      <w:pPr>
        <w:pStyle w:val="style0"/>
        <w:jc w:val="center"/>
        <w:rPr>
          <w:b/>
          <w:bCs/>
          <w:sz w:val="24"/>
          <w:szCs w:val="24"/>
          <w:lang w:val="es-ES"/>
        </w:rPr>
      </w:pPr>
    </w:p>
    <w:p>
      <w:pPr>
        <w:pStyle w:val="style0"/>
        <w:jc w:val="center"/>
        <w:rPr>
          <w:b/>
          <w:bCs/>
          <w:sz w:val="24"/>
          <w:szCs w:val="24"/>
          <w:lang w:val="es-ES"/>
        </w:rPr>
      </w:pPr>
    </w:p>
    <w:p>
      <w:pPr>
        <w:pStyle w:val="style0"/>
        <w:jc w:val="center"/>
        <w:rPr>
          <w:b/>
          <w:bCs/>
          <w:sz w:val="24"/>
          <w:szCs w:val="24"/>
          <w:lang w:val="es-ES"/>
        </w:rPr>
      </w:pPr>
      <w:r>
        <w:rPr>
          <w:b/>
          <w:bCs/>
          <w:sz w:val="24"/>
          <w:szCs w:val="24"/>
          <w:lang w:val="es-ES"/>
        </w:rPr>
        <w:t>IMPORTACIONES DEL PIB POR CATEGORIA DE ACTIVIDAD ECONOMICA</w:t>
      </w:r>
    </w:p>
    <w:p>
      <w:pPr>
        <w:pStyle w:val="style0"/>
        <w:rPr>
          <w:sz w:val="24"/>
          <w:szCs w:val="24"/>
          <w:lang w:val="es-ES"/>
        </w:rPr>
      </w:pPr>
    </w:p>
    <w:p>
      <w:pPr>
        <w:pStyle w:val="style0"/>
        <w:rPr>
          <w:sz w:val="24"/>
          <w:szCs w:val="24"/>
          <w:lang w:val="es-ES"/>
        </w:rPr>
      </w:pPr>
      <w:r>
        <w:rPr>
          <w:sz w:val="24"/>
          <w:szCs w:val="24"/>
          <w:lang w:val="es-ES"/>
        </w:rPr>
        <w:t>En esta Base de Datos esta la información sobre las importaciones de actividad</w:t>
      </w:r>
      <w:r>
        <w:rPr>
          <w:sz w:val="24"/>
          <w:szCs w:val="24"/>
          <w:lang w:val="es-ES"/>
        </w:rPr>
        <w:t>es economicas que hace Panamá. En este caso estaremos analizando los datos de importación que son importantes en Panamá (Pesca,Agricultura y Hoteleria)</w:t>
      </w:r>
      <w:r>
        <w:rPr>
          <w:sz w:val="24"/>
          <w:szCs w:val="24"/>
          <w:lang w:val="es-ES"/>
        </w:rPr>
        <w:t>.</w:t>
      </w:r>
    </w:p>
    <w:p>
      <w:pPr>
        <w:pStyle w:val="style0"/>
        <w:rPr>
          <w:sz w:val="24"/>
          <w:szCs w:val="24"/>
          <w:lang w:val="es-ES"/>
        </w:rPr>
      </w:pPr>
      <w:r>
        <w:rPr>
          <w:sz w:val="24"/>
          <w:szCs w:val="24"/>
          <w:lang w:val="es-ES"/>
        </w:rPr>
        <w:t>La razón por la que escogi estos datos es por la curiosidad de conocer que tanto ha afectado la pandemia a un sector tan importante como lo es la hoteleria que esta ligada al turismo y sobre como las sequias de estos respectivos años han afectado a sectores escenciales como la agricultura/pesca.</w:t>
      </w:r>
    </w:p>
    <w:p>
      <w:pPr>
        <w:pStyle w:val="style0"/>
        <w:rPr>
          <w:sz w:val="24"/>
          <w:szCs w:val="24"/>
          <w:lang w:val="es-ES"/>
        </w:rPr>
      </w:pPr>
    </w:p>
    <w:p>
      <w:pPr>
        <w:pStyle w:val="style0"/>
        <w:rPr>
          <w:b/>
          <w:bCs/>
          <w:sz w:val="24"/>
          <w:szCs w:val="24"/>
          <w:lang w:val="es-ES"/>
        </w:rPr>
      </w:pPr>
      <w:r>
        <w:rPr>
          <w:b/>
          <w:bCs/>
          <w:sz w:val="24"/>
          <w:szCs w:val="24"/>
          <w:lang w:val="es-ES"/>
        </w:rPr>
        <w:t>Atributos de la tabla</w:t>
      </w:r>
    </w:p>
    <w:p>
      <w:pPr>
        <w:pStyle w:val="style179"/>
        <w:numPr>
          <w:ilvl w:val="0"/>
          <w:numId w:val="1"/>
        </w:numPr>
        <w:rPr>
          <w:sz w:val="24"/>
          <w:szCs w:val="24"/>
          <w:lang w:val="es-ES"/>
        </w:rPr>
      </w:pPr>
      <w:r>
        <w:rPr>
          <w:sz w:val="24"/>
          <w:szCs w:val="24"/>
          <w:lang w:val="es-ES"/>
        </w:rPr>
        <w:t>CATEGORIAS</w:t>
      </w:r>
    </w:p>
    <w:p>
      <w:pPr>
        <w:pStyle w:val="style179"/>
        <w:numPr>
          <w:ilvl w:val="0"/>
          <w:numId w:val="1"/>
        </w:numPr>
        <w:rPr>
          <w:sz w:val="24"/>
          <w:szCs w:val="24"/>
          <w:lang w:val="es-ES"/>
        </w:rPr>
      </w:pPr>
      <w:r>
        <w:rPr>
          <w:sz w:val="24"/>
          <w:szCs w:val="24"/>
          <w:lang w:val="es-ES"/>
        </w:rPr>
        <w:t xml:space="preserve">AÑOS/RELACIÓN </w:t>
      </w:r>
    </w:p>
    <w:p>
      <w:pPr>
        <w:pStyle w:val="style179"/>
        <w:numPr>
          <w:ilvl w:val="0"/>
          <w:numId w:val="1"/>
        </w:numPr>
        <w:rPr>
          <w:sz w:val="24"/>
          <w:szCs w:val="24"/>
          <w:lang w:val="es-ES"/>
        </w:rPr>
      </w:pPr>
      <w:r>
        <w:rPr>
          <w:sz w:val="24"/>
          <w:szCs w:val="24"/>
          <w:lang w:val="es-ES"/>
        </w:rPr>
        <w:t>AÑO</w:t>
      </w:r>
    </w:p>
    <w:p>
      <w:pPr>
        <w:pStyle w:val="style179"/>
        <w:numPr>
          <w:ilvl w:val="0"/>
          <w:numId w:val="1"/>
        </w:numPr>
        <w:rPr>
          <w:sz w:val="24"/>
          <w:szCs w:val="24"/>
          <w:lang w:val="es-ES"/>
        </w:rPr>
      </w:pPr>
      <w:r>
        <w:rPr>
          <w:sz w:val="24"/>
          <w:szCs w:val="24"/>
          <w:lang w:val="es-ES"/>
        </w:rPr>
        <w:t>COMPOSICIÓN CORRIENTE</w:t>
      </w:r>
    </w:p>
    <w:p>
      <w:pPr>
        <w:pStyle w:val="style179"/>
        <w:numPr>
          <w:ilvl w:val="0"/>
          <w:numId w:val="1"/>
        </w:numPr>
        <w:rPr>
          <w:sz w:val="24"/>
          <w:szCs w:val="24"/>
          <w:lang w:val="es-ES"/>
        </w:rPr>
      </w:pPr>
      <w:r>
        <w:rPr>
          <w:sz w:val="24"/>
          <w:szCs w:val="24"/>
          <w:lang w:val="es-ES"/>
        </w:rPr>
        <w:t>VALOR CONSTANTE</w:t>
      </w:r>
    </w:p>
    <w:p>
      <w:pPr>
        <w:pStyle w:val="style179"/>
        <w:numPr>
          <w:ilvl w:val="0"/>
          <w:numId w:val="1"/>
        </w:numPr>
        <w:rPr>
          <w:sz w:val="24"/>
          <w:szCs w:val="24"/>
          <w:lang w:val="es-ES"/>
        </w:rPr>
      </w:pPr>
      <w:r>
        <w:rPr>
          <w:sz w:val="24"/>
          <w:szCs w:val="24"/>
          <w:lang w:val="es-ES"/>
        </w:rPr>
        <w:t>VALORES</w:t>
      </w:r>
    </w:p>
    <w:p>
      <w:pPr>
        <w:pStyle w:val="style179"/>
        <w:numPr>
          <w:ilvl w:val="0"/>
          <w:numId w:val="1"/>
        </w:numPr>
        <w:rPr>
          <w:sz w:val="24"/>
          <w:szCs w:val="24"/>
          <w:lang w:val="es-ES"/>
        </w:rPr>
      </w:pPr>
      <w:r>
        <w:rPr>
          <w:sz w:val="24"/>
          <w:szCs w:val="24"/>
          <w:lang w:val="es-ES"/>
        </w:rPr>
        <w:t>VARIACIÓN ABSOLUTA CONSTANTE</w:t>
      </w:r>
    </w:p>
    <w:p>
      <w:pPr>
        <w:pStyle w:val="style179"/>
        <w:numPr>
          <w:ilvl w:val="0"/>
          <w:numId w:val="1"/>
        </w:numPr>
        <w:rPr>
          <w:sz w:val="24"/>
          <w:szCs w:val="24"/>
          <w:lang w:val="es-ES"/>
        </w:rPr>
      </w:pPr>
      <w:r>
        <w:rPr>
          <w:sz w:val="24"/>
          <w:szCs w:val="24"/>
          <w:lang w:val="es-ES"/>
        </w:rPr>
        <w:t>VARIACIÓN ABSOLUTA CORRIENTE</w:t>
      </w:r>
    </w:p>
    <w:p>
      <w:pPr>
        <w:pStyle w:val="style179"/>
        <w:numPr>
          <w:ilvl w:val="0"/>
          <w:numId w:val="1"/>
        </w:numPr>
        <w:rPr>
          <w:sz w:val="24"/>
          <w:szCs w:val="24"/>
          <w:lang w:val="es-ES"/>
        </w:rPr>
      </w:pPr>
      <w:r>
        <w:rPr>
          <w:sz w:val="24"/>
          <w:szCs w:val="24"/>
          <w:lang w:val="es-ES"/>
        </w:rPr>
        <w:t>VARIACIÓN PORCENTUAL CONSTANTE</w:t>
      </w:r>
    </w:p>
    <w:p>
      <w:pPr>
        <w:pStyle w:val="style179"/>
        <w:numPr>
          <w:ilvl w:val="0"/>
          <w:numId w:val="1"/>
        </w:numPr>
        <w:rPr>
          <w:sz w:val="24"/>
          <w:szCs w:val="24"/>
          <w:lang w:val="es-ES"/>
        </w:rPr>
      </w:pPr>
      <w:r>
        <w:rPr>
          <w:sz w:val="24"/>
          <w:szCs w:val="24"/>
          <w:lang w:val="es-ES"/>
        </w:rPr>
        <w:t>VARIACIÓN PORCENTUAL CORRIENTE</w:t>
      </w:r>
    </w:p>
    <w:p>
      <w:pPr>
        <w:pStyle w:val="style0"/>
        <w:rPr>
          <w:sz w:val="24"/>
          <w:szCs w:val="24"/>
          <w:lang w:val="es-ES"/>
        </w:rPr>
      </w:pPr>
    </w:p>
    <w:p>
      <w:pPr>
        <w:pStyle w:val="style0"/>
        <w:rPr>
          <w:b/>
          <w:bCs/>
          <w:sz w:val="24"/>
          <w:szCs w:val="24"/>
          <w:lang w:val="es-ES"/>
        </w:rPr>
      </w:pPr>
      <w:r>
        <w:rPr>
          <w:b/>
          <w:bCs/>
          <w:sz w:val="24"/>
          <w:szCs w:val="24"/>
          <w:lang w:val="es-ES"/>
        </w:rPr>
        <w:t>Incognitas</w:t>
      </w:r>
    </w:p>
    <w:p>
      <w:pPr>
        <w:pStyle w:val="style179"/>
        <w:numPr>
          <w:ilvl w:val="0"/>
          <w:numId w:val="2"/>
        </w:numPr>
        <w:rPr>
          <w:b/>
          <w:bCs/>
          <w:sz w:val="24"/>
          <w:szCs w:val="24"/>
          <w:lang w:val="es-ES"/>
        </w:rPr>
      </w:pPr>
      <w:r>
        <w:rPr>
          <w:b/>
          <w:bCs/>
          <w:sz w:val="24"/>
          <w:szCs w:val="24"/>
          <w:lang w:val="es-ES"/>
        </w:rPr>
        <w:t>¿Cuál es la mayor importación de Panamá entre 3 actividades economicas importantes para el país?</w:t>
      </w:r>
    </w:p>
    <w:p>
      <w:pPr>
        <w:pStyle w:val="style179"/>
        <w:numPr>
          <w:ilvl w:val="0"/>
          <w:numId w:val="2"/>
        </w:numPr>
        <w:rPr>
          <w:b/>
          <w:bCs/>
          <w:sz w:val="24"/>
          <w:szCs w:val="24"/>
          <w:lang w:val="es-ES"/>
        </w:rPr>
      </w:pPr>
      <w:r>
        <w:rPr>
          <w:b/>
          <w:bCs/>
          <w:sz w:val="24"/>
          <w:szCs w:val="24"/>
          <w:lang w:val="es-ES"/>
        </w:rPr>
        <w:t>¿Las importaciones agricolas bajaron por cierto tiempo debido a las sequias?</w:t>
      </w:r>
    </w:p>
    <w:p>
      <w:pPr>
        <w:pStyle w:val="style179"/>
        <w:numPr>
          <w:ilvl w:val="0"/>
          <w:numId w:val="2"/>
        </w:numPr>
        <w:rPr>
          <w:b/>
          <w:bCs/>
          <w:sz w:val="24"/>
          <w:szCs w:val="24"/>
          <w:lang w:val="es-ES"/>
        </w:rPr>
      </w:pPr>
      <w:r>
        <w:rPr>
          <w:b/>
          <w:bCs/>
          <w:sz w:val="24"/>
          <w:szCs w:val="24"/>
          <w:lang w:val="es-ES"/>
        </w:rPr>
        <w:t>¿Las importaciones hoteleras bajaron por efectos de la pandemia?</w:t>
      </w:r>
    </w:p>
    <w:p>
      <w:pPr>
        <w:pStyle w:val="style179"/>
        <w:numPr>
          <w:ilvl w:val="0"/>
          <w:numId w:val="2"/>
        </w:numPr>
        <w:rPr>
          <w:b/>
          <w:bCs/>
          <w:sz w:val="24"/>
          <w:szCs w:val="24"/>
          <w:lang w:val="es-ES"/>
        </w:rPr>
      </w:pPr>
      <w:r>
        <w:rPr>
          <w:b/>
          <w:bCs/>
          <w:sz w:val="24"/>
          <w:szCs w:val="24"/>
          <w:lang w:val="es-ES"/>
        </w:rPr>
        <w:t>Cual fue el año en que más importaciones se dieron</w:t>
      </w:r>
    </w:p>
    <w:p>
      <w:pPr>
        <w:pStyle w:val="style179"/>
        <w:numPr>
          <w:ilvl w:val="0"/>
          <w:numId w:val="2"/>
        </w:numPr>
        <w:rPr>
          <w:b/>
          <w:bCs/>
          <w:sz w:val="24"/>
          <w:szCs w:val="24"/>
          <w:lang w:val="es-ES"/>
        </w:rPr>
      </w:pPr>
      <w:r>
        <w:rPr>
          <w:b/>
          <w:bCs/>
          <w:sz w:val="24"/>
          <w:szCs w:val="24"/>
          <w:lang w:val="es-ES"/>
        </w:rPr>
        <w:t>Comparación entre la variación porcentual constante y la variación porcentual corriente</w:t>
      </w:r>
    </w:p>
    <w:p>
      <w:pPr>
        <w:pStyle w:val="style179"/>
        <w:numPr>
          <w:ilvl w:val="0"/>
          <w:numId w:val="2"/>
        </w:numPr>
        <w:rPr>
          <w:b/>
          <w:bCs/>
          <w:sz w:val="24"/>
          <w:szCs w:val="24"/>
          <w:lang w:val="es-ES"/>
        </w:rPr>
      </w:pPr>
      <w:r>
        <w:rPr>
          <w:b/>
          <w:bCs/>
          <w:sz w:val="24"/>
          <w:szCs w:val="24"/>
          <w:lang w:val="es-ES"/>
        </w:rPr>
        <w:t>Promedios entre todas las actividades economicas de acuerdo al año</w:t>
      </w: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179"/>
        <w:numPr>
          <w:ilvl w:val="0"/>
          <w:numId w:val="3"/>
        </w:numPr>
        <w:rPr>
          <w:b/>
          <w:bCs/>
          <w:sz w:val="24"/>
          <w:szCs w:val="24"/>
          <w:lang w:val="es-ES"/>
        </w:rPr>
      </w:pPr>
      <w:r>
        <w:rPr>
          <w:b/>
          <w:bCs/>
          <w:sz w:val="24"/>
          <w:szCs w:val="24"/>
          <w:lang w:val="es-ES"/>
        </w:rPr>
        <w:t xml:space="preserve">MAYOR IMPORTACIÓN </w:t>
      </w:r>
    </w:p>
    <w:p>
      <w:pPr>
        <w:pStyle w:val="style179"/>
        <w:rPr>
          <w:b/>
          <w:bCs/>
          <w:sz w:val="24"/>
          <w:szCs w:val="24"/>
          <w:lang w:val="es-ES"/>
        </w:rPr>
      </w:pPr>
    </w:p>
    <w:p>
      <w:pPr>
        <w:pStyle w:val="style179"/>
        <w:rPr>
          <w:b/>
          <w:bCs/>
          <w:sz w:val="24"/>
          <w:szCs w:val="24"/>
          <w:lang w:val="es-ES"/>
        </w:rPr>
      </w:pPr>
      <w:r>
        <w:rPr>
          <w:b/>
          <w:bCs/>
          <w:sz w:val="24"/>
          <w:szCs w:val="24"/>
          <w:lang w:val="es-ES"/>
        </w:rPr>
        <w:t>HIPOTESIS</w:t>
      </w:r>
      <w:r>
        <w:rPr>
          <w:b/>
          <w:bCs/>
          <w:sz w:val="24"/>
          <w:szCs w:val="24"/>
          <w:lang w:val="es-ES"/>
        </w:rPr>
        <w:t xml:space="preserve"> 1</w:t>
      </w:r>
      <w:r>
        <w:rPr>
          <w:b/>
          <w:bCs/>
          <w:sz w:val="24"/>
          <w:szCs w:val="24"/>
          <w:lang w:val="es-ES"/>
        </w:rPr>
        <w:tab/>
      </w:r>
    </w:p>
    <w:p>
      <w:pPr>
        <w:pStyle w:val="style179"/>
        <w:rPr>
          <w:sz w:val="24"/>
          <w:szCs w:val="24"/>
          <w:lang w:val="es-ES"/>
        </w:rPr>
      </w:pPr>
      <w:r>
        <w:rPr>
          <w:sz w:val="24"/>
          <w:szCs w:val="24"/>
          <w:lang w:val="es-ES"/>
        </w:rPr>
        <w:t xml:space="preserve">La agricultura al ser uno de los sectores primarios que representa la mayor actividad economica del país debe tener por lo tanto el </w:t>
      </w:r>
      <w:r>
        <w:rPr>
          <w:sz w:val="24"/>
          <w:szCs w:val="24"/>
          <w:lang w:val="es-ES"/>
        </w:rPr>
        <w:t xml:space="preserve">menor </w:t>
      </w:r>
      <w:r>
        <w:rPr>
          <w:sz w:val="24"/>
          <w:szCs w:val="24"/>
          <w:lang w:val="es-ES"/>
        </w:rPr>
        <w:t>PIB de importación</w:t>
      </w:r>
      <w:r>
        <w:rPr>
          <w:sz w:val="24"/>
          <w:szCs w:val="24"/>
          <w:lang w:val="es-ES"/>
        </w:rPr>
        <w:t>, ya que poseemos un 27% de terreno destinado a la agricultura lo que da empleos y oportunidades a los ciudadanos Panameños</w:t>
      </w:r>
      <w:r>
        <w:rPr>
          <w:sz w:val="24"/>
          <w:szCs w:val="24"/>
          <w:lang w:val="es-ES"/>
        </w:rPr>
        <w:t xml:space="preserve"> </w:t>
      </w:r>
    </w:p>
    <w:p>
      <w:pPr>
        <w:pStyle w:val="style179"/>
        <w:rPr>
          <w:sz w:val="24"/>
          <w:szCs w:val="24"/>
          <w:lang w:val="es-ES"/>
        </w:rPr>
      </w:pPr>
    </w:p>
    <w:p>
      <w:pPr>
        <w:pStyle w:val="style179"/>
        <w:rPr>
          <w:b/>
          <w:bCs/>
          <w:sz w:val="24"/>
          <w:szCs w:val="24"/>
          <w:lang w:val="es-ES"/>
        </w:rPr>
      </w:pPr>
      <w:r>
        <w:rPr>
          <w:b/>
          <w:bCs/>
          <w:sz w:val="24"/>
          <w:szCs w:val="24"/>
          <w:lang w:val="es-ES"/>
        </w:rPr>
        <w:t>HIPOTESIS 2</w:t>
      </w:r>
      <w:r>
        <w:rPr>
          <w:b/>
          <w:bCs/>
          <w:sz w:val="24"/>
          <w:szCs w:val="24"/>
          <w:lang w:val="es-ES"/>
        </w:rPr>
        <w:tab/>
      </w:r>
    </w:p>
    <w:p>
      <w:pPr>
        <w:pStyle w:val="style179"/>
        <w:rPr>
          <w:sz w:val="24"/>
          <w:szCs w:val="24"/>
          <w:lang w:val="es-ES"/>
        </w:rPr>
      </w:pPr>
      <w:r>
        <w:rPr>
          <w:sz w:val="24"/>
          <w:szCs w:val="24"/>
          <w:lang w:val="es-ES"/>
        </w:rPr>
        <w:t>Debido a la influencia positiva que tiene la industria hotelera en el PIB del país, no seria raro que Panamá busque importar los articulos hoteleros de calidad con el fin de aumentar  las ganacias que se obtienen de este sector, por lo tanto debe tener un PIB mayor al de los demás</w:t>
      </w:r>
    </w:p>
    <w:p>
      <w:pPr>
        <w:pStyle w:val="style179"/>
        <w:rPr>
          <w:sz w:val="24"/>
          <w:szCs w:val="24"/>
          <w:lang w:val="es-ES"/>
        </w:rPr>
      </w:pPr>
    </w:p>
    <w:p>
      <w:pPr>
        <w:pStyle w:val="style179"/>
        <w:rPr>
          <w:b/>
          <w:bCs/>
          <w:sz w:val="24"/>
          <w:szCs w:val="24"/>
          <w:lang w:val="es-ES"/>
        </w:rPr>
      </w:pPr>
      <w:r>
        <w:rPr>
          <w:b/>
          <w:bCs/>
          <w:sz w:val="24"/>
          <w:szCs w:val="24"/>
          <w:lang w:val="es-ES"/>
        </w:rPr>
        <w:t>HIPOTESIS 3</w:t>
      </w:r>
    </w:p>
    <w:p>
      <w:pPr>
        <w:pStyle w:val="style179"/>
        <w:rPr>
          <w:sz w:val="24"/>
          <w:szCs w:val="24"/>
          <w:lang w:val="es-ES"/>
        </w:rPr>
      </w:pPr>
      <w:r>
        <w:rPr>
          <w:sz w:val="24"/>
          <w:szCs w:val="24"/>
          <w:lang w:val="es-ES"/>
        </w:rPr>
        <w:t>La pesca es uno de los sectores que más exportan y representan una gran fuente de empleo para zonas costaneras. Por lo que la importación deberia ser menor</w:t>
      </w:r>
    </w:p>
    <w:p>
      <w:pPr>
        <w:pStyle w:val="style179"/>
        <w:rPr>
          <w:sz w:val="24"/>
          <w:szCs w:val="24"/>
          <w:lang w:val="es-ES"/>
        </w:rPr>
      </w:pPr>
    </w:p>
    <w:p>
      <w:pPr>
        <w:pStyle w:val="style179"/>
        <w:rPr>
          <w:b/>
          <w:bCs/>
          <w:sz w:val="24"/>
          <w:szCs w:val="24"/>
          <w:lang w:val="es-ES"/>
        </w:rPr>
      </w:pPr>
      <w:r>
        <w:rPr>
          <w:b/>
          <w:bCs/>
          <w:sz w:val="24"/>
          <w:szCs w:val="24"/>
          <w:lang w:val="es-ES"/>
        </w:rPr>
        <w:t>REFERENCIAS</w:t>
      </w:r>
    </w:p>
    <w:p>
      <w:pPr>
        <w:pStyle w:val="style179"/>
        <w:rPr>
          <w:sz w:val="24"/>
          <w:szCs w:val="24"/>
          <w:lang w:val="es-ES"/>
        </w:rPr>
      </w:pPr>
      <w:r>
        <w:rPr>
          <w:sz w:val="24"/>
          <w:szCs w:val="24"/>
          <w:lang w:val="es-ES"/>
        </w:rPr>
        <w:t>(</w:t>
      </w:r>
      <w:r>
        <w:rPr>
          <w:sz w:val="24"/>
          <w:szCs w:val="24"/>
          <w:lang w:val="es-ES"/>
        </w:rPr>
        <w:t xml:space="preserve">SECTORES AGROALIMENTARIO Y PESQUERO. (s. f.). Mapa. </w:t>
      </w:r>
      <w:r>
        <w:rPr/>
        <w:fldChar w:fldCharType="begin"/>
      </w:r>
      <w:r>
        <w:instrText xml:space="preserve"> HYPERLINK "https://www.mapa.gob.es/es/ministerio/ministerio-exterior/america-central-caribe/fichasectores_pa1_tcm30-543059.pdf" </w:instrText>
      </w:r>
      <w:r>
        <w:rPr/>
        <w:fldChar w:fldCharType="separate"/>
      </w:r>
      <w:r>
        <w:rPr>
          <w:rStyle w:val="style85"/>
          <w:sz w:val="24"/>
          <w:szCs w:val="24"/>
          <w:lang w:val="es-ES"/>
        </w:rPr>
        <w:t>https://www.mapa.gob.es/es/ministerio/ministerio-exterior/america-central-caribe/fichasectores_pa1_tcm30-543059.pdf</w:t>
      </w:r>
      <w:r>
        <w:rPr/>
        <w:fldChar w:fldCharType="end"/>
      </w:r>
      <w:r>
        <w:rPr>
          <w:sz w:val="24"/>
          <w:szCs w:val="24"/>
          <w:lang w:val="es-ES"/>
        </w:rPr>
        <w:t>)</w:t>
      </w:r>
    </w:p>
    <w:p>
      <w:pPr>
        <w:pStyle w:val="style179"/>
        <w:rPr>
          <w:sz w:val="24"/>
          <w:szCs w:val="24"/>
          <w:lang w:val="es-ES"/>
        </w:rPr>
      </w:pPr>
      <w:r>
        <w:rPr>
          <w:sz w:val="24"/>
          <w:szCs w:val="24"/>
          <w:lang w:val="es-ES"/>
        </w:rPr>
        <w:t>(</w:t>
      </w:r>
      <w:r>
        <w:rPr>
          <w:sz w:val="24"/>
          <w:szCs w:val="24"/>
          <w:lang w:val="es-ES"/>
        </w:rPr>
        <w:t xml:space="preserve">Perspectivas del sector hotelero en Panamá. (s. f.). CNCPanama. </w:t>
      </w:r>
      <w:r>
        <w:rPr/>
        <w:fldChar w:fldCharType="begin"/>
      </w:r>
      <w:r>
        <w:instrText xml:space="preserve"> HYPERLINK "https://cncpanama.net/bitstream/handle/123456789/883/sececo32.pdf?sequence=1&amp;isAllowed=y" \l ":~:text=El%20importante%20crecimiento%20del%20sector,país%20como%20un%20destino%20turístico" </w:instrText>
      </w:r>
      <w:r>
        <w:rPr/>
        <w:fldChar w:fldCharType="separate"/>
      </w:r>
      <w:r>
        <w:rPr>
          <w:rStyle w:val="style85"/>
          <w:sz w:val="24"/>
          <w:szCs w:val="24"/>
          <w:lang w:val="es-ES"/>
        </w:rPr>
        <w:t>https://cncpanama.net/bitstream/handle/123456789/883/sececo32.pdf?sequence=1&amp;isAllowed=y#:~:text=El%20importante%20crecimiento%20del%20sector,país%20como%20un%20destino%20turístico</w:t>
      </w:r>
      <w:r>
        <w:rPr/>
        <w:fldChar w:fldCharType="end"/>
      </w:r>
      <w:r>
        <w:rPr>
          <w:sz w:val="24"/>
          <w:szCs w:val="24"/>
          <w:lang w:val="es-ES"/>
        </w:rPr>
        <w:t>)</w:t>
      </w:r>
    </w:p>
    <w:p>
      <w:pPr>
        <w:pStyle w:val="style179"/>
        <w:rPr>
          <w:sz w:val="24"/>
          <w:szCs w:val="24"/>
          <w:lang w:val="es-ES"/>
        </w:rPr>
      </w:pPr>
      <w:r>
        <w:rPr>
          <w:sz w:val="24"/>
          <w:szCs w:val="24"/>
          <w:lang w:val="es-ES"/>
        </w:rPr>
        <w:t>(</w:t>
      </w:r>
      <w:r>
        <w:rPr>
          <w:sz w:val="24"/>
          <w:szCs w:val="24"/>
          <w:lang w:val="es-ES"/>
        </w:rPr>
        <w:t xml:space="preserve">Organisation des Nations Unies pour l’alimentation et l’agriculturerofil de la Peche par Pays. FID/CP/ARG: La República de Panamá. (s. f.). Aquadocs. </w:t>
      </w:r>
      <w:r>
        <w:rPr/>
        <w:fldChar w:fldCharType="begin"/>
      </w:r>
      <w:r>
        <w:instrText xml:space="preserve"> HYPERLINK "https://aquadocs.org/bitstream/handle/1834/8064/La%20pesca%20en%20Panamá--informe%20de%202007.pdf?sequence=1&amp;isAllowed=y" \l ":~:text=La%20pesca%20es%20de%20suma,considerable%20para%20l" </w:instrText>
      </w:r>
      <w:r>
        <w:rPr/>
        <w:fldChar w:fldCharType="separate"/>
      </w:r>
      <w:r>
        <w:rPr>
          <w:rStyle w:val="style85"/>
          <w:sz w:val="24"/>
          <w:szCs w:val="24"/>
          <w:lang w:val="es-ES"/>
        </w:rPr>
        <w:t>https://aquadocs.org/bitstream/handle/1834/8064/La%20pesca%20en%20Panamá--informe%20de%202007.pdf?sequence=1&amp;isAllowed=y#:~:text=La%20pesca%20es%20de%20suma,considerable%20para%20l</w:t>
      </w:r>
      <w:r>
        <w:rPr/>
        <w:fldChar w:fldCharType="end"/>
      </w:r>
      <w:r>
        <w:rPr>
          <w:sz w:val="24"/>
          <w:szCs w:val="24"/>
          <w:lang w:val="es-ES"/>
        </w:rPr>
        <w:t>)</w:t>
      </w:r>
    </w:p>
    <w:p>
      <w:pPr>
        <w:pStyle w:val="style179"/>
        <w:rPr>
          <w:sz w:val="24"/>
          <w:szCs w:val="24"/>
          <w:lang w:val="es-ES"/>
        </w:rPr>
      </w:pPr>
    </w:p>
    <w:p>
      <w:pPr>
        <w:pStyle w:val="style179"/>
        <w:rPr>
          <w:sz w:val="24"/>
          <w:szCs w:val="24"/>
          <w:lang w:val="es-ES"/>
        </w:rPr>
      </w:pPr>
    </w:p>
    <w:p>
      <w:pPr>
        <w:pStyle w:val="style179"/>
        <w:rPr>
          <w:sz w:val="24"/>
          <w:szCs w:val="24"/>
          <w:lang w:val="es-ES"/>
        </w:rPr>
      </w:pPr>
    </w:p>
    <w:p>
      <w:pPr>
        <w:pStyle w:val="style179"/>
        <w:rPr>
          <w:sz w:val="24"/>
          <w:szCs w:val="24"/>
          <w:lang w:val="es-ES"/>
        </w:rPr>
      </w:pPr>
    </w:p>
    <w:p>
      <w:pPr>
        <w:pStyle w:val="style179"/>
        <w:rPr>
          <w:sz w:val="24"/>
          <w:szCs w:val="24"/>
          <w:lang w:val="es-ES"/>
        </w:rPr>
      </w:pPr>
    </w:p>
    <w:p>
      <w:pPr>
        <w:pStyle w:val="style179"/>
        <w:rPr>
          <w:sz w:val="24"/>
          <w:szCs w:val="24"/>
          <w:lang w:val="es-ES"/>
        </w:rPr>
      </w:pPr>
    </w:p>
    <w:p>
      <w:pPr>
        <w:pStyle w:val="style179"/>
        <w:rPr>
          <w:sz w:val="24"/>
          <w:szCs w:val="24"/>
          <w:lang w:val="es-ES"/>
        </w:rPr>
      </w:pPr>
    </w:p>
    <w:p>
      <w:pPr>
        <w:pStyle w:val="style179"/>
        <w:rPr>
          <w:sz w:val="24"/>
          <w:szCs w:val="24"/>
          <w:lang w:val="es-ES"/>
        </w:rPr>
      </w:pPr>
    </w:p>
    <w:p>
      <w:pPr>
        <w:pStyle w:val="style179"/>
        <w:rPr>
          <w:b/>
          <w:bCs/>
          <w:sz w:val="24"/>
          <w:szCs w:val="24"/>
          <w:lang w:val="es-ES"/>
        </w:rPr>
      </w:pPr>
      <w:r>
        <w:rPr>
          <w:b/>
          <w:bCs/>
          <w:sz w:val="24"/>
          <w:szCs w:val="24"/>
          <w:lang w:val="es-ES"/>
        </w:rPr>
        <w:t>ANALISIS:</w:t>
      </w:r>
    </w:p>
    <w:p>
      <w:pPr>
        <w:pStyle w:val="style179"/>
        <w:rPr>
          <w:b/>
          <w:bCs/>
          <w:sz w:val="24"/>
          <w:szCs w:val="24"/>
          <w:lang w:val="es-ES"/>
        </w:rPr>
      </w:pPr>
      <w:r>
        <w:rPr>
          <w:noProof/>
        </w:rPr>
      </w:r>
      <w:r>
        <w:rPr>
          <w:noProof/>
        </w:rPr>
      </w:r>
      <w:r>
        <w:rPr>
          <w:noProof/>
        </w:rPr>
      </w:r>
      <w:r>
        <w:rPr>
          <w:noProof/>
        </w:rPr>
        <w:drawing>
          <wp:inline distL="114300" distT="0" distB="0" distR="114300">
            <wp:extent cx="4572000" cy="2743200"/>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noProof/>
        </w:rPr>
      </w:r>
    </w:p>
    <w:p>
      <w:pPr>
        <w:pStyle w:val="style179"/>
        <w:rPr>
          <w:b/>
          <w:bCs/>
          <w:sz w:val="24"/>
          <w:szCs w:val="24"/>
          <w:lang w:val="es-ES"/>
        </w:rPr>
      </w:pPr>
    </w:p>
    <w:p>
      <w:pPr>
        <w:pStyle w:val="style0"/>
        <w:rPr>
          <w:b/>
          <w:bCs/>
          <w:sz w:val="24"/>
          <w:szCs w:val="24"/>
          <w:lang w:val="es-ES"/>
        </w:rPr>
      </w:pPr>
      <w:r>
        <w:rPr>
          <w:b/>
          <w:bCs/>
          <w:sz w:val="24"/>
          <w:szCs w:val="24"/>
          <w:lang w:val="es-ES"/>
        </w:rPr>
        <w:t>Gracias a esta grafica podemos apreciar que la actividad economica con mayor importación es la de HOTELES. Teniendo una media de 4022.99049.</w:t>
      </w:r>
    </w:p>
    <w:p>
      <w:pPr>
        <w:pStyle w:val="style0"/>
        <w:rPr>
          <w:b/>
          <w:bCs/>
          <w:sz w:val="24"/>
          <w:szCs w:val="24"/>
          <w:lang w:val="es-ES"/>
        </w:rPr>
      </w:pPr>
      <w:r>
        <w:rPr>
          <w:b/>
          <w:bCs/>
          <w:sz w:val="24"/>
          <w:szCs w:val="24"/>
          <w:lang w:val="es-ES"/>
        </w:rPr>
        <w:t>Lo cual confirma las hipotesis presentadas anteriormente, Panamá invierte más en traer servicios de hoteleria y restaurantes de calidad para aumentar el turismo</w:t>
      </w: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179"/>
        <w:numPr>
          <w:ilvl w:val="0"/>
          <w:numId w:val="3"/>
        </w:numPr>
        <w:rPr>
          <w:b/>
          <w:bCs/>
          <w:sz w:val="24"/>
          <w:szCs w:val="24"/>
          <w:lang w:val="es-ES"/>
        </w:rPr>
      </w:pPr>
      <w:r>
        <w:rPr>
          <w:b/>
          <w:bCs/>
          <w:sz w:val="24"/>
          <w:szCs w:val="24"/>
          <w:lang w:val="es-ES"/>
        </w:rPr>
        <w:t>¿LAS IMPORTACIONES AGRICOLAS BAJARON POR CIERTO TIEMPO DEBIDO A LAS SEQUIAS?</w:t>
      </w: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r>
        <w:rPr>
          <w:b/>
          <w:bCs/>
          <w:sz w:val="24"/>
          <w:szCs w:val="24"/>
          <w:lang w:val="es-ES"/>
        </w:rPr>
        <w:t>HIPOTESIS</w:t>
      </w:r>
    </w:p>
    <w:p>
      <w:pPr>
        <w:pStyle w:val="style0"/>
        <w:ind w:left="708"/>
        <w:rPr>
          <w:sz w:val="24"/>
          <w:szCs w:val="24"/>
          <w:lang w:val="es-ES"/>
        </w:rPr>
      </w:pPr>
      <w:r>
        <w:rPr>
          <w:sz w:val="24"/>
          <w:szCs w:val="24"/>
          <w:lang w:val="es-ES"/>
        </w:rPr>
        <w:t>En 2019 las importaciones agricolas debieron aumentar significativamente debido a la fuerte sequia que se produjo en este mismo año, que fueron tan fuertes que secaron el río Chagres por meses.</w:t>
      </w:r>
    </w:p>
    <w:p>
      <w:pPr>
        <w:pStyle w:val="style0"/>
        <w:ind w:left="708"/>
        <w:rPr>
          <w:b/>
          <w:bCs/>
          <w:sz w:val="24"/>
          <w:szCs w:val="24"/>
          <w:lang w:val="es-ES"/>
        </w:rPr>
      </w:pPr>
      <w:r>
        <w:rPr>
          <w:b/>
          <w:bCs/>
          <w:sz w:val="24"/>
          <w:szCs w:val="24"/>
          <w:lang w:val="es-ES"/>
        </w:rPr>
        <w:t>REFERENCIA</w:t>
      </w:r>
    </w:p>
    <w:p>
      <w:pPr>
        <w:pStyle w:val="style0"/>
        <w:ind w:left="708"/>
        <w:rPr>
          <w:sz w:val="24"/>
          <w:szCs w:val="24"/>
          <w:lang w:val="es-ES"/>
        </w:rPr>
      </w:pPr>
      <w:r>
        <w:rPr>
          <w:sz w:val="24"/>
          <w:szCs w:val="24"/>
          <w:lang w:val="es-ES"/>
        </w:rPr>
        <w:t>(</w:t>
      </w:r>
      <w:r>
        <w:rPr>
          <w:sz w:val="24"/>
          <w:szCs w:val="24"/>
          <w:lang w:val="es-ES"/>
        </w:rPr>
        <w:t xml:space="preserve">Fountain, H. (2019, 12 agosto). La peor sequía en Panamá amenaza el futuro del canal. The New York Times. </w:t>
      </w:r>
      <w:r>
        <w:rPr/>
        <w:fldChar w:fldCharType="begin"/>
      </w:r>
      <w:r>
        <w:instrText xml:space="preserve"> HYPERLINK "https://www.nytimes.com/es/2019/05/17/espanol/america-latina/canal-de-panama-sequia.html" </w:instrText>
      </w:r>
      <w:r>
        <w:rPr/>
        <w:fldChar w:fldCharType="separate"/>
      </w:r>
      <w:r>
        <w:rPr>
          <w:rStyle w:val="style85"/>
          <w:sz w:val="24"/>
          <w:szCs w:val="24"/>
          <w:lang w:val="es-ES"/>
        </w:rPr>
        <w:t>https://www.nytimes.com/es/2019/05/17/espanol/america-latina/canal-de-panama-sequia.html</w:t>
      </w:r>
      <w:r>
        <w:rPr/>
        <w:fldChar w:fldCharType="end"/>
      </w:r>
      <w:r>
        <w:rPr>
          <w:sz w:val="24"/>
          <w:szCs w:val="24"/>
          <w:lang w:val="es-ES"/>
        </w:rPr>
        <w:t>)</w:t>
      </w:r>
    </w:p>
    <w:p>
      <w:pPr>
        <w:pStyle w:val="style0"/>
        <w:ind w:left="708"/>
        <w:rPr>
          <w:sz w:val="24"/>
          <w:szCs w:val="24"/>
          <w:lang w:val="es-ES"/>
        </w:rPr>
      </w:pPr>
    </w:p>
    <w:p>
      <w:pPr>
        <w:pStyle w:val="style0"/>
        <w:ind w:left="708"/>
        <w:rPr>
          <w:b/>
          <w:bCs/>
          <w:sz w:val="24"/>
          <w:szCs w:val="24"/>
          <w:lang w:val="es-ES"/>
        </w:rPr>
      </w:pPr>
      <w:r>
        <w:rPr>
          <w:b/>
          <w:bCs/>
          <w:sz w:val="24"/>
          <w:szCs w:val="24"/>
          <w:lang w:val="es-ES"/>
        </w:rPr>
        <w:t>ANALISIS:</w:t>
      </w:r>
    </w:p>
    <w:p>
      <w:pPr>
        <w:pStyle w:val="style0"/>
        <w:ind w:left="708"/>
        <w:rPr>
          <w:sz w:val="24"/>
          <w:szCs w:val="24"/>
          <w:lang w:val="es-ES"/>
        </w:rPr>
      </w:pPr>
      <w:r>
        <w:rPr>
          <w:noProof/>
        </w:rPr>
      </w:r>
      <w:r>
        <w:rPr>
          <w:noProof/>
        </w:rPr>
      </w:r>
      <w:r>
        <w:rPr>
          <w:noProof/>
        </w:rPr>
      </w:r>
      <w:r>
        <w:rPr>
          <w:noProof/>
        </w:rPr>
        <w:drawing>
          <wp:inline distL="114300" distT="0" distB="0" distR="114300">
            <wp:extent cx="4572000" cy="2743200"/>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r>
    </w:p>
    <w:p>
      <w:pPr>
        <w:pStyle w:val="style0"/>
        <w:ind w:left="708"/>
        <w:rPr>
          <w:sz w:val="24"/>
          <w:szCs w:val="24"/>
          <w:lang w:val="es-ES"/>
        </w:rPr>
      </w:pPr>
    </w:p>
    <w:p>
      <w:pPr>
        <w:pStyle w:val="style0"/>
        <w:ind w:left="708"/>
        <w:rPr>
          <w:b/>
          <w:bCs/>
          <w:sz w:val="24"/>
          <w:szCs w:val="24"/>
          <w:lang w:val="es-ES"/>
        </w:rPr>
      </w:pPr>
      <w:r>
        <w:rPr>
          <w:b/>
          <w:bCs/>
          <w:sz w:val="24"/>
          <w:szCs w:val="24"/>
          <w:lang w:val="es-ES"/>
        </w:rPr>
        <w:t>CONCLUSIÓN</w:t>
      </w:r>
    </w:p>
    <w:p>
      <w:pPr>
        <w:pStyle w:val="style0"/>
        <w:ind w:left="708"/>
        <w:rPr>
          <w:b/>
          <w:bCs/>
          <w:sz w:val="24"/>
          <w:szCs w:val="24"/>
          <w:lang w:val="es-ES"/>
        </w:rPr>
      </w:pPr>
      <w:r>
        <w:rPr>
          <w:b/>
          <w:bCs/>
          <w:sz w:val="24"/>
          <w:szCs w:val="24"/>
          <w:lang w:val="es-ES"/>
        </w:rPr>
        <w:t>Como podemos ver en la grafica l</w:t>
      </w:r>
      <w:r>
        <w:rPr>
          <w:b/>
          <w:bCs/>
          <w:sz w:val="24"/>
          <w:szCs w:val="24"/>
          <w:lang w:val="es-ES"/>
        </w:rPr>
        <w:t>as importaciones aumentaron en 2007-2008</w:t>
      </w:r>
      <w:r>
        <w:rPr>
          <w:b/>
          <w:bCs/>
          <w:sz w:val="24"/>
          <w:szCs w:val="24"/>
          <w:lang w:val="es-ES"/>
        </w:rPr>
        <w:t xml:space="preserve"> siendo las más altas que se dieron en el continente</w:t>
      </w:r>
      <w:r>
        <w:rPr>
          <w:b/>
          <w:bCs/>
          <w:sz w:val="24"/>
          <w:szCs w:val="24"/>
          <w:lang w:val="es-ES"/>
        </w:rPr>
        <w:t>.</w:t>
      </w:r>
    </w:p>
    <w:p>
      <w:pPr>
        <w:pStyle w:val="style0"/>
        <w:ind w:left="708"/>
        <w:rPr>
          <w:b/>
          <w:bCs/>
          <w:sz w:val="24"/>
          <w:szCs w:val="24"/>
          <w:lang w:val="es-ES"/>
        </w:rPr>
      </w:pPr>
      <w:r>
        <w:rPr>
          <w:b/>
          <w:bCs/>
          <w:sz w:val="24"/>
          <w:szCs w:val="24"/>
          <w:lang w:val="es-ES"/>
        </w:rPr>
        <w:t xml:space="preserve">Esta conclusión se refuerza con las sequias ocurridas en 2006-2007 donde el Fenomeno del niño seco el 95% de las fuentes hídricas de Los Santos y siguo por unos 16 meses , provocando grandes perdidas en el sector agricola y obligando al país a importar productos agricolas </w:t>
      </w:r>
    </w:p>
    <w:p>
      <w:pPr>
        <w:pStyle w:val="style0"/>
        <w:ind w:left="708"/>
        <w:rPr>
          <w:b/>
          <w:bCs/>
          <w:sz w:val="24"/>
          <w:szCs w:val="24"/>
          <w:lang w:val="es-ES"/>
        </w:rPr>
      </w:pPr>
      <w:r>
        <w:rPr>
          <w:b/>
          <w:bCs/>
          <w:sz w:val="24"/>
          <w:szCs w:val="24"/>
          <w:lang w:val="es-ES"/>
        </w:rPr>
        <w:t>REFERENCIA</w:t>
      </w:r>
    </w:p>
    <w:p>
      <w:pPr>
        <w:pStyle w:val="style0"/>
        <w:ind w:left="708"/>
        <w:rPr>
          <w:sz w:val="24"/>
          <w:szCs w:val="24"/>
          <w:lang w:val="es-ES"/>
        </w:rPr>
      </w:pPr>
      <w:r>
        <w:rPr>
          <w:sz w:val="24"/>
          <w:szCs w:val="24"/>
          <w:lang w:val="es-ES"/>
        </w:rPr>
        <w:t>(</w:t>
      </w:r>
      <w:r>
        <w:rPr>
          <w:sz w:val="24"/>
          <w:szCs w:val="24"/>
          <w:lang w:val="es-ES"/>
        </w:rPr>
        <w:t xml:space="preserve">El 97% de las fuentes hídricas en Los Santos están secas - Panama. (2016, 7 abril). ReliefWeb. </w:t>
      </w:r>
      <w:r>
        <w:rPr/>
        <w:fldChar w:fldCharType="begin"/>
      </w:r>
      <w:r>
        <w:instrText xml:space="preserve"> HYPERLINK "https://reliefweb.int/report/panama/el-97-de-las-fuentes-h-dricas-en-los-santos-est-n-secas" </w:instrText>
      </w:r>
      <w:r>
        <w:rPr/>
        <w:fldChar w:fldCharType="separate"/>
      </w:r>
      <w:r>
        <w:rPr>
          <w:rStyle w:val="style85"/>
          <w:sz w:val="24"/>
          <w:szCs w:val="24"/>
          <w:lang w:val="es-ES"/>
        </w:rPr>
        <w:t>https://reliefweb.int/report/panama/el-97-de-las-fuentes-h-dricas-en-los-santos-est-n-secas</w:t>
      </w:r>
      <w:r>
        <w:rPr/>
        <w:fldChar w:fldCharType="end"/>
      </w:r>
      <w:r>
        <w:rPr>
          <w:sz w:val="24"/>
          <w:szCs w:val="24"/>
          <w:lang w:val="es-ES"/>
        </w:rPr>
        <w:t>)</w:t>
      </w:r>
    </w:p>
    <w:p>
      <w:pPr>
        <w:pStyle w:val="style0"/>
        <w:ind w:left="708"/>
        <w:rPr>
          <w:sz w:val="24"/>
          <w:szCs w:val="24"/>
          <w:lang w:val="es-ES"/>
        </w:rPr>
      </w:pPr>
    </w:p>
    <w:p>
      <w:pPr>
        <w:pStyle w:val="style0"/>
        <w:ind w:left="708"/>
        <w:rPr>
          <w:b/>
          <w:bCs/>
          <w:sz w:val="24"/>
          <w:szCs w:val="24"/>
          <w:lang w:val="es-ES"/>
        </w:rPr>
      </w:pPr>
    </w:p>
    <w:p>
      <w:pPr>
        <w:pStyle w:val="style179"/>
        <w:numPr>
          <w:ilvl w:val="0"/>
          <w:numId w:val="3"/>
        </w:numPr>
        <w:rPr>
          <w:b/>
          <w:bCs/>
          <w:sz w:val="24"/>
          <w:szCs w:val="24"/>
          <w:lang w:val="es-ES"/>
        </w:rPr>
      </w:pPr>
      <w:r>
        <w:rPr>
          <w:b/>
          <w:bCs/>
          <w:sz w:val="24"/>
          <w:szCs w:val="24"/>
          <w:lang w:val="es-ES"/>
        </w:rPr>
        <w:t>¿LAS IMPORTACIONES HOTELERAS BAJARON POR EFECTOS DE LA PANDEMIA?</w:t>
      </w:r>
    </w:p>
    <w:p>
      <w:pPr>
        <w:pStyle w:val="style179"/>
        <w:rPr>
          <w:b/>
          <w:bCs/>
          <w:sz w:val="24"/>
          <w:szCs w:val="24"/>
          <w:lang w:val="es-ES"/>
        </w:rPr>
      </w:pPr>
    </w:p>
    <w:p>
      <w:pPr>
        <w:pStyle w:val="style179"/>
        <w:rPr>
          <w:b/>
          <w:bCs/>
          <w:sz w:val="24"/>
          <w:szCs w:val="24"/>
          <w:lang w:val="es-ES"/>
        </w:rPr>
      </w:pPr>
      <w:r>
        <w:rPr>
          <w:b/>
          <w:bCs/>
          <w:sz w:val="24"/>
          <w:szCs w:val="24"/>
          <w:lang w:val="es-ES"/>
        </w:rPr>
        <w:t>HIPOTESIS</w:t>
      </w:r>
      <w:r>
        <w:rPr>
          <w:b/>
          <w:bCs/>
          <w:sz w:val="24"/>
          <w:szCs w:val="24"/>
          <w:lang w:val="es-ES"/>
        </w:rPr>
        <w:tab/>
      </w:r>
      <w:r>
        <w:rPr>
          <w:b/>
          <w:bCs/>
          <w:sz w:val="24"/>
          <w:szCs w:val="24"/>
          <w:lang w:val="es-ES"/>
        </w:rPr>
        <w:tab/>
      </w:r>
      <w:r>
        <w:rPr>
          <w:b/>
          <w:bCs/>
          <w:sz w:val="24"/>
          <w:szCs w:val="24"/>
          <w:lang w:val="es-ES"/>
        </w:rPr>
        <w:tab/>
      </w:r>
    </w:p>
    <w:p>
      <w:pPr>
        <w:pStyle w:val="style179"/>
        <w:rPr>
          <w:sz w:val="24"/>
          <w:szCs w:val="24"/>
          <w:lang w:val="es-ES"/>
        </w:rPr>
      </w:pPr>
      <w:r>
        <w:rPr>
          <w:sz w:val="24"/>
          <w:szCs w:val="24"/>
          <w:lang w:val="es-ES"/>
        </w:rPr>
        <w:t>D</w:t>
      </w:r>
      <w:r>
        <w:rPr>
          <w:sz w:val="24"/>
          <w:szCs w:val="24"/>
          <w:lang w:val="es-ES"/>
        </w:rPr>
        <w:t>ebido a los efectos de la pandemia se debieron haber importado menos suminstros en hoteles y restaurantes por las restricciones sanitarias</w:t>
      </w:r>
      <w:r>
        <w:rPr>
          <w:sz w:val="24"/>
          <w:szCs w:val="24"/>
          <w:lang w:val="es-ES"/>
        </w:rPr>
        <w:t>.</w:t>
      </w:r>
    </w:p>
    <w:p>
      <w:pPr>
        <w:pStyle w:val="style179"/>
        <w:rPr>
          <w:sz w:val="24"/>
          <w:szCs w:val="24"/>
          <w:lang w:val="es-ES"/>
        </w:rPr>
      </w:pPr>
    </w:p>
    <w:p>
      <w:pPr>
        <w:pStyle w:val="style179"/>
        <w:rPr>
          <w:sz w:val="24"/>
          <w:szCs w:val="24"/>
          <w:lang w:val="es-ES"/>
        </w:rPr>
      </w:pPr>
      <w:r>
        <w:rPr>
          <w:noProof/>
        </w:rPr>
      </w:r>
      <w:r>
        <w:rPr>
          <w:noProof/>
        </w:rPr>
      </w:r>
      <w:r>
        <w:rPr>
          <w:noProof/>
        </w:rPr>
      </w:r>
      <w:r>
        <w:rPr>
          <w:noProof/>
        </w:rPr>
        <w:drawing>
          <wp:inline distL="114300" distT="0" distB="0" distR="114300">
            <wp:extent cx="4572000" cy="2743200"/>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r>
    </w:p>
    <w:p>
      <w:pPr>
        <w:pStyle w:val="style179"/>
        <w:rPr>
          <w:b/>
          <w:bCs/>
          <w:sz w:val="24"/>
          <w:szCs w:val="24"/>
          <w:lang w:val="es-ES"/>
        </w:rPr>
      </w:pPr>
    </w:p>
    <w:p>
      <w:pPr>
        <w:pStyle w:val="style179"/>
        <w:rPr>
          <w:sz w:val="24"/>
          <w:szCs w:val="24"/>
          <w:lang w:val="es-ES"/>
        </w:rPr>
      </w:pPr>
      <w:r>
        <w:rPr>
          <w:b/>
          <w:bCs/>
          <w:sz w:val="24"/>
          <w:szCs w:val="24"/>
          <w:lang w:val="es-ES"/>
        </w:rPr>
        <w:t>Como se puede apreciar en la tabla la hipotesis realizada fue correcta, en el 2020 los valores corrientes de las importaciones hoteleras bajaron al mismo tiempo que hubo una disminución catastrofica en la variación porcentual (El cambio relativo en términos de porcentaje entre dos valores o cantidades)</w:t>
      </w:r>
      <w:r>
        <w:rPr>
          <w:sz w:val="24"/>
          <w:szCs w:val="24"/>
          <w:lang w:val="es-ES"/>
        </w:rPr>
        <w:tab/>
      </w:r>
      <w:r>
        <w:rPr>
          <w:sz w:val="24"/>
          <w:szCs w:val="24"/>
          <w:lang w:val="es-ES"/>
        </w:rPr>
        <w:tab/>
      </w:r>
      <w:r>
        <w:rPr>
          <w:sz w:val="24"/>
          <w:szCs w:val="24"/>
          <w:lang w:val="es-ES"/>
        </w:rPr>
        <w:tab/>
      </w:r>
    </w:p>
    <w:p>
      <w:pPr>
        <w:pStyle w:val="style179"/>
        <w:rPr>
          <w:sz w:val="24"/>
          <w:szCs w:val="24"/>
          <w:lang w:val="es-ES"/>
        </w:rPr>
      </w:pPr>
    </w:p>
    <w:p>
      <w:pPr>
        <w:pStyle w:val="style179"/>
        <w:rPr>
          <w:sz w:val="24"/>
          <w:szCs w:val="24"/>
          <w:lang w:val="es-ES"/>
        </w:rPr>
      </w:pPr>
    </w:p>
    <w:p>
      <w:pPr>
        <w:pStyle w:val="style179"/>
        <w:rPr>
          <w:sz w:val="24"/>
          <w:szCs w:val="24"/>
          <w:lang w:val="es-ES"/>
        </w:rPr>
      </w:pPr>
    </w:p>
    <w:p>
      <w:pPr>
        <w:pStyle w:val="style179"/>
        <w:numPr>
          <w:ilvl w:val="0"/>
          <w:numId w:val="3"/>
        </w:numPr>
        <w:rPr>
          <w:b/>
          <w:bCs/>
          <w:sz w:val="24"/>
          <w:szCs w:val="24"/>
          <w:lang w:val="es-ES"/>
        </w:rPr>
      </w:pPr>
      <w:r>
        <w:rPr>
          <w:b/>
          <w:bCs/>
          <w:sz w:val="24"/>
          <w:szCs w:val="24"/>
          <w:lang w:val="es-ES"/>
        </w:rPr>
        <w:t>CUAL FUE EL AÑO EN QUE MÁS IMPORTACIONES SE DIERON</w:t>
      </w:r>
    </w:p>
    <w:p>
      <w:pPr>
        <w:pStyle w:val="style179"/>
        <w:rPr>
          <w:b/>
          <w:bCs/>
          <w:sz w:val="24"/>
          <w:szCs w:val="24"/>
          <w:lang w:val="es-ES"/>
        </w:rPr>
      </w:pPr>
      <w:r>
        <w:rPr>
          <w:noProof/>
        </w:rPr>
      </w:r>
      <w:r>
        <w:rPr>
          <w:noProof/>
        </w:rPr>
      </w:r>
      <w:r>
        <w:rPr>
          <w:noProof/>
        </w:rPr>
      </w:r>
      <w:r>
        <w:rPr>
          <w:noProof/>
        </w:rPr>
        <w:drawing>
          <wp:inline distL="114300" distT="0" distB="0" distR="114300">
            <wp:extent cx="4572000" cy="2743200"/>
            <wp:effectExtent l="0" t="0" r="0" b="0"/>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r>
    </w:p>
    <w:p>
      <w:pPr>
        <w:pStyle w:val="style179"/>
        <w:rPr>
          <w:b/>
          <w:bCs/>
          <w:sz w:val="24"/>
          <w:szCs w:val="24"/>
          <w:lang w:val="es-ES"/>
        </w:rPr>
      </w:pPr>
    </w:p>
    <w:p>
      <w:pPr>
        <w:pStyle w:val="style0"/>
        <w:ind w:left="708"/>
        <w:rPr>
          <w:b/>
          <w:bCs/>
          <w:sz w:val="24"/>
          <w:szCs w:val="24"/>
          <w:lang w:val="es-ES"/>
        </w:rPr>
      </w:pPr>
      <w:r>
        <w:rPr>
          <w:b/>
          <w:bCs/>
          <w:sz w:val="24"/>
          <w:szCs w:val="24"/>
          <w:lang w:val="es-ES"/>
        </w:rPr>
        <w:t xml:space="preserve">El pico de mayores importaciones se dio en el año 2019 con un total de </w:t>
      </w:r>
      <w:r>
        <w:rPr>
          <w:b/>
          <w:bCs/>
          <w:sz w:val="24"/>
          <w:szCs w:val="24"/>
          <w:lang w:val="es-ES"/>
        </w:rPr>
        <w:t>127534.1</w:t>
      </w:r>
      <w:r>
        <w:rPr>
          <w:b/>
          <w:bCs/>
          <w:sz w:val="24"/>
          <w:szCs w:val="24"/>
          <w:lang w:val="es-ES"/>
        </w:rPr>
        <w:t xml:space="preserve"> </w:t>
      </w:r>
    </w:p>
    <w:p>
      <w:pPr>
        <w:pStyle w:val="style0"/>
        <w:ind w:left="708"/>
        <w:rPr>
          <w:b/>
          <w:bCs/>
          <w:sz w:val="24"/>
          <w:szCs w:val="24"/>
          <w:lang w:val="es-ES"/>
        </w:rPr>
      </w:pPr>
      <w:r>
        <w:rPr>
          <w:b/>
          <w:bCs/>
          <w:sz w:val="24"/>
          <w:szCs w:val="24"/>
          <w:lang w:val="es-ES"/>
        </w:rPr>
        <w:t>Y el año en que menos importaciones se dio en el 2020</w:t>
      </w:r>
    </w:p>
    <w:p>
      <w:pPr>
        <w:pStyle w:val="style0"/>
        <w:ind w:left="708"/>
        <w:rPr>
          <w:b/>
          <w:bCs/>
          <w:sz w:val="24"/>
          <w:szCs w:val="24"/>
          <w:lang w:val="es-ES"/>
        </w:rPr>
      </w:pPr>
    </w:p>
    <w:p>
      <w:pPr>
        <w:pStyle w:val="style0"/>
        <w:ind w:left="708"/>
        <w:rPr>
          <w:b/>
          <w:bCs/>
          <w:sz w:val="24"/>
          <w:szCs w:val="24"/>
          <w:lang w:val="es-ES"/>
        </w:rPr>
      </w:pPr>
    </w:p>
    <w:p>
      <w:pPr>
        <w:pStyle w:val="style179"/>
        <w:numPr>
          <w:ilvl w:val="0"/>
          <w:numId w:val="3"/>
        </w:numPr>
        <w:rPr>
          <w:b/>
          <w:bCs/>
          <w:sz w:val="24"/>
          <w:szCs w:val="24"/>
          <w:lang w:val="es-ES"/>
        </w:rPr>
      </w:pPr>
      <w:r>
        <w:rPr>
          <w:b/>
          <w:bCs/>
          <w:sz w:val="24"/>
          <w:szCs w:val="24"/>
          <w:lang w:val="es-ES"/>
        </w:rPr>
        <w:t>COMPARACIÓN ENTRE LA VARIACIÓN PORCENTUAL CONSTANTE Y LA VARIACIÓN PORCENTUAL CORRIENTE</w:t>
      </w:r>
    </w:p>
    <w:p>
      <w:pPr>
        <w:pStyle w:val="style0"/>
        <w:ind w:left="708"/>
        <w:rPr>
          <w:b/>
          <w:bCs/>
          <w:sz w:val="24"/>
          <w:szCs w:val="24"/>
          <w:lang w:val="es-ES"/>
        </w:rPr>
      </w:pPr>
      <w:r>
        <w:rPr>
          <w:noProof/>
        </w:rPr>
      </w:r>
      <w:r>
        <w:rPr>
          <w:noProof/>
        </w:rPr>
      </w:r>
      <w:r>
        <w:rPr>
          <w:noProof/>
        </w:rPr>
      </w:r>
      <w:r>
        <w:rPr>
          <w:noProof/>
        </w:rPr>
        <w:drawing>
          <wp:inline distL="114300" distT="0" distB="0" distR="114300">
            <wp:extent cx="5612130" cy="3002915"/>
            <wp:effectExtent l="0" t="0" r="0" b="0"/>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r>
    </w:p>
    <w:p>
      <w:pPr>
        <w:pStyle w:val="style0"/>
        <w:ind w:left="708"/>
        <w:rPr>
          <w:b/>
          <w:bCs/>
          <w:sz w:val="24"/>
          <w:szCs w:val="24"/>
          <w:lang w:val="es-ES"/>
        </w:rPr>
      </w:pPr>
      <w:r>
        <w:rPr>
          <w:b/>
          <w:bCs/>
          <w:sz w:val="24"/>
          <w:szCs w:val="24"/>
          <w:lang w:val="es-ES"/>
        </w:rPr>
        <w:t xml:space="preserve">Con este gráfico podemos notar que la variación porcentual constante ha sido estable en todas las actividades economicas lo que quiere decir que se han hecho muy pocos cambios en las tasas con el paso del tiempo. También podemos apreciar que la tasa más alta es la de </w:t>
      </w:r>
      <w:r>
        <w:rPr>
          <w:b/>
          <w:bCs/>
          <w:sz w:val="24"/>
          <w:szCs w:val="24"/>
          <w:lang w:val="es-ES"/>
        </w:rPr>
        <w:t>producto interno bruto a precios de comprador    </w:t>
      </w:r>
      <w:r>
        <w:rPr>
          <w:b/>
          <w:bCs/>
          <w:sz w:val="24"/>
          <w:szCs w:val="24"/>
          <w:lang w:val="es-ES"/>
        </w:rPr>
        <w:tab/>
      </w:r>
    </w:p>
    <w:p>
      <w:pPr>
        <w:pStyle w:val="style179"/>
        <w:rPr>
          <w:b/>
          <w:bCs/>
          <w:sz w:val="24"/>
          <w:szCs w:val="24"/>
          <w:lang w:val="es-ES"/>
        </w:rPr>
      </w:pPr>
    </w:p>
    <w:p>
      <w:pPr>
        <w:pStyle w:val="style179"/>
        <w:numPr>
          <w:ilvl w:val="0"/>
          <w:numId w:val="3"/>
        </w:numPr>
        <w:rPr>
          <w:b/>
          <w:bCs/>
          <w:sz w:val="24"/>
          <w:szCs w:val="24"/>
          <w:lang w:val="es-ES"/>
        </w:rPr>
      </w:pPr>
      <w:r>
        <w:rPr>
          <w:b/>
          <w:bCs/>
          <w:sz w:val="24"/>
          <w:szCs w:val="24"/>
          <w:lang w:val="es-ES"/>
        </w:rPr>
        <w:t>PROMEDIOS DE TODAS LAS ACTIVIDADES ECONOMICAS</w:t>
      </w:r>
      <w:r>
        <w:rPr>
          <w:b/>
          <w:bCs/>
          <w:sz w:val="24"/>
          <w:szCs w:val="24"/>
          <w:lang w:val="es-ES"/>
        </w:rPr>
        <w:t xml:space="preserve"> TOMANDO ENCUENTA SU VARIACIÓN ABSOLUTA Y VALOR CORRIENTE</w:t>
      </w:r>
    </w:p>
    <w:tbl>
      <w:tblPr>
        <w:tblW w:w="8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40"/>
        <w:gridCol w:w="2340"/>
        <w:gridCol w:w="3860"/>
      </w:tblGrid>
      <w:tr>
        <w:trPr>
          <w:trHeight w:val="288" w:hRule="atLeast"/>
        </w:trPr>
        <w:tc>
          <w:tcPr>
            <w:tcW w:w="2340" w:type="dxa"/>
            <w:tcBorders/>
            <w:shd w:val="clear" w:color="auto" w:fill="auto"/>
            <w:noWrap/>
            <w:vAlign w:val="bottom"/>
            <w:hideMark/>
          </w:tcPr>
          <w:p>
            <w:pPr>
              <w:pStyle w:val="style0"/>
              <w:spacing w:after="0" w:lineRule="auto" w:line="240"/>
              <w:rPr>
                <w:rFonts w:ascii="Times New Roman" w:cs="Times New Roman" w:eastAsia="Times New Roman" w:hAnsi="Times New Roman"/>
                <w:kern w:val="0"/>
                <w:sz w:val="24"/>
                <w:szCs w:val="24"/>
                <w:lang w:eastAsia="es-PA"/>
                <w14:ligatures xmlns:w14="http://schemas.microsoft.com/office/word/2010/wordml" w14:val="none"/>
              </w:rPr>
            </w:pPr>
          </w:p>
        </w:tc>
        <w:tc>
          <w:tcPr>
            <w:tcW w:w="2340" w:type="dxa"/>
            <w:tcBorders/>
            <w:shd w:val="clear" w:color="auto" w:fill="auto"/>
            <w:noWrap/>
            <w:vAlign w:val="bottom"/>
            <w:hideMark/>
          </w:tcPr>
          <w:p>
            <w:pPr>
              <w:pStyle w:val="style0"/>
              <w:spacing w:after="0" w:lineRule="auto" w:line="240"/>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VALOR CORRIENTE</w:t>
            </w:r>
          </w:p>
        </w:tc>
        <w:tc>
          <w:tcPr>
            <w:tcW w:w="3860" w:type="dxa"/>
            <w:tcBorders/>
            <w:shd w:val="clear" w:color="auto" w:fill="auto"/>
            <w:noWrap/>
            <w:vAlign w:val="bottom"/>
            <w:hideMark/>
          </w:tcPr>
          <w:p>
            <w:pPr>
              <w:pStyle w:val="style0"/>
              <w:spacing w:after="0" w:lineRule="auto" w:line="240"/>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VARIACIÓN ABSOLUTA</w:t>
            </w:r>
          </w:p>
        </w:tc>
      </w:tr>
      <w:tr>
        <w:tblPrEx/>
        <w:trPr>
          <w:trHeight w:val="288" w:hRule="atLeast"/>
        </w:trPr>
        <w:tc>
          <w:tcPr>
            <w:tcW w:w="2340" w:type="dxa"/>
            <w:tcBorders/>
            <w:shd w:val="clear" w:color="auto" w:fill="auto"/>
            <w:noWrap/>
            <w:vAlign w:val="bottom"/>
            <w:hideMark/>
          </w:tcPr>
          <w:p>
            <w:pPr>
              <w:pStyle w:val="style0"/>
              <w:spacing w:after="0" w:lineRule="auto" w:line="240"/>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MEDIA</w:t>
            </w:r>
          </w:p>
        </w:tc>
        <w:tc>
          <w:tcPr>
            <w:tcW w:w="2340" w:type="dxa"/>
            <w:tcBorders/>
            <w:shd w:val="clear" w:color="auto" w:fill="auto"/>
            <w:noWrap/>
            <w:vAlign w:val="bottom"/>
            <w:hideMark/>
          </w:tcPr>
          <w:p>
            <w:pPr>
              <w:pStyle w:val="style0"/>
              <w:spacing w:after="0" w:lineRule="auto" w:line="240"/>
              <w:jc w:val="right"/>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95991.50714</w:t>
            </w:r>
          </w:p>
        </w:tc>
        <w:tc>
          <w:tcPr>
            <w:tcW w:w="3860" w:type="dxa"/>
            <w:tcBorders/>
            <w:shd w:val="clear" w:color="auto" w:fill="auto"/>
            <w:noWrap/>
            <w:vAlign w:val="bottom"/>
            <w:hideMark/>
          </w:tcPr>
          <w:p>
            <w:pPr>
              <w:pStyle w:val="style0"/>
              <w:spacing w:after="0" w:lineRule="auto" w:line="240"/>
              <w:jc w:val="right"/>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7471.607692</w:t>
            </w:r>
          </w:p>
        </w:tc>
      </w:tr>
      <w:tr>
        <w:tblPrEx/>
        <w:trPr>
          <w:trHeight w:val="288" w:hRule="atLeast"/>
        </w:trPr>
        <w:tc>
          <w:tcPr>
            <w:tcW w:w="2340" w:type="dxa"/>
            <w:tcBorders/>
            <w:shd w:val="clear" w:color="auto" w:fill="auto"/>
            <w:noWrap/>
            <w:vAlign w:val="bottom"/>
            <w:hideMark/>
          </w:tcPr>
          <w:p>
            <w:pPr>
              <w:pStyle w:val="style0"/>
              <w:spacing w:after="0" w:lineRule="auto" w:line="240"/>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VARIANZA</w:t>
            </w:r>
          </w:p>
        </w:tc>
        <w:tc>
          <w:tcPr>
            <w:tcW w:w="2340" w:type="dxa"/>
            <w:tcBorders/>
            <w:shd w:val="clear" w:color="auto" w:fill="auto"/>
            <w:noWrap/>
            <w:vAlign w:val="bottom"/>
            <w:hideMark/>
          </w:tcPr>
          <w:p>
            <w:pPr>
              <w:pStyle w:val="style0"/>
              <w:spacing w:after="0" w:lineRule="auto" w:line="240"/>
              <w:jc w:val="right"/>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461396766.3</w:t>
            </w:r>
          </w:p>
        </w:tc>
        <w:tc>
          <w:tcPr>
            <w:tcW w:w="3860" w:type="dxa"/>
            <w:tcBorders/>
            <w:shd w:val="clear" w:color="auto" w:fill="auto"/>
            <w:noWrap/>
            <w:vAlign w:val="bottom"/>
            <w:hideMark/>
          </w:tcPr>
          <w:p>
            <w:pPr>
              <w:pStyle w:val="style0"/>
              <w:spacing w:after="0" w:lineRule="auto" w:line="240"/>
              <w:jc w:val="right"/>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205386391.4</w:t>
            </w:r>
          </w:p>
        </w:tc>
      </w:tr>
      <w:tr>
        <w:tblPrEx/>
        <w:trPr>
          <w:trHeight w:val="288" w:hRule="atLeast"/>
        </w:trPr>
        <w:tc>
          <w:tcPr>
            <w:tcW w:w="2340" w:type="dxa"/>
            <w:tcBorders/>
            <w:shd w:val="clear" w:color="auto" w:fill="auto"/>
            <w:noWrap/>
            <w:vAlign w:val="bottom"/>
            <w:hideMark/>
          </w:tcPr>
          <w:p>
            <w:pPr>
              <w:pStyle w:val="style0"/>
              <w:spacing w:after="0" w:lineRule="auto" w:line="240"/>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DESVIACIÓN ESTANDAR</w:t>
            </w:r>
          </w:p>
        </w:tc>
        <w:tc>
          <w:tcPr>
            <w:tcW w:w="2340" w:type="dxa"/>
            <w:tcBorders/>
            <w:shd w:val="clear" w:color="auto" w:fill="auto"/>
            <w:noWrap/>
            <w:vAlign w:val="bottom"/>
            <w:hideMark/>
          </w:tcPr>
          <w:p>
            <w:pPr>
              <w:pStyle w:val="style0"/>
              <w:spacing w:after="0" w:lineRule="auto" w:line="240"/>
              <w:jc w:val="right"/>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20698.78872</w:t>
            </w:r>
          </w:p>
        </w:tc>
        <w:tc>
          <w:tcPr>
            <w:tcW w:w="3860" w:type="dxa"/>
            <w:tcBorders/>
            <w:shd w:val="clear" w:color="auto" w:fill="auto"/>
            <w:noWrap/>
            <w:vAlign w:val="bottom"/>
            <w:hideMark/>
          </w:tcPr>
          <w:p>
            <w:pPr>
              <w:pStyle w:val="style0"/>
              <w:spacing w:after="0" w:lineRule="auto" w:line="240"/>
              <w:jc w:val="right"/>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13769.07543</w:t>
            </w:r>
          </w:p>
        </w:tc>
      </w:tr>
    </w:tbl>
    <w:p>
      <w:pPr>
        <w:pStyle w:val="style0"/>
        <w:rPr>
          <w:b/>
          <w:bCs/>
          <w:color w:val="ff0000"/>
          <w:sz w:val="24"/>
          <w:szCs w:val="24"/>
          <w:lang w:val="es-ES"/>
        </w:rPr>
      </w:pPr>
    </w:p>
    <w:p>
      <w:pPr>
        <w:pStyle w:val="style0"/>
        <w:rPr>
          <w:b/>
          <w:bCs/>
          <w:sz w:val="24"/>
          <w:szCs w:val="24"/>
          <w:lang w:val="es-ES"/>
        </w:rPr>
      </w:pP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p>
    <w:p>
      <w:pPr>
        <w:pStyle w:val="style179"/>
        <w:jc w:val="center"/>
        <w:rPr>
          <w:rFonts w:ascii="Arial" w:cs="Arial" w:hAnsi="Arial"/>
          <w:b/>
          <w:bCs/>
          <w:sz w:val="28"/>
          <w:szCs w:val="28"/>
        </w:rPr>
      </w:pPr>
      <w:r>
        <w:rPr>
          <w:rFonts w:ascii="Arial" w:cs="Arial" w:hAnsi="Arial"/>
          <w:b/>
          <w:bCs/>
          <w:sz w:val="28"/>
          <w:szCs w:val="28"/>
        </w:rPr>
        <w:t>PIB por categoría económica</w:t>
      </w:r>
    </w:p>
    <w:p>
      <w:pPr>
        <w:pStyle w:val="style0"/>
        <w:rPr>
          <w:rFonts w:ascii="Arial" w:cs="Arial" w:hAnsi="Arial"/>
          <w:sz w:val="28"/>
          <w:szCs w:val="28"/>
        </w:rPr>
      </w:pPr>
    </w:p>
    <w:p>
      <w:pPr>
        <w:pStyle w:val="style0"/>
        <w:jc w:val="both"/>
        <w:rPr>
          <w:rFonts w:ascii="Arial" w:cs="Arial" w:hAnsi="Arial"/>
          <w:sz w:val="24"/>
          <w:szCs w:val="24"/>
        </w:rPr>
      </w:pPr>
      <w:r>
        <w:rPr>
          <w:rFonts w:ascii="Arial" w:cs="Arial" w:hAnsi="Arial"/>
          <w:sz w:val="24"/>
          <w:szCs w:val="24"/>
        </w:rPr>
        <w:t>En esta Base de datos se encuentra información de el PIB generado por ciertas categorías económicas de forma constante y corriente tomando como referencia para este ultimo el año 2007 según la pagina que facilito la Base de datos (INEC). De los años 2017 hasta 2019</w:t>
      </w:r>
    </w:p>
    <w:p>
      <w:pPr>
        <w:pStyle w:val="style0"/>
        <w:jc w:val="both"/>
        <w:rPr>
          <w:rFonts w:ascii="Arial" w:cs="Arial" w:hAnsi="Arial"/>
          <w:sz w:val="24"/>
          <w:szCs w:val="24"/>
        </w:rPr>
      </w:pPr>
      <w:r>
        <w:rPr>
          <w:rFonts w:ascii="Arial" w:cs="Arial" w:hAnsi="Arial"/>
          <w:sz w:val="24"/>
          <w:szCs w:val="24"/>
        </w:rPr>
        <w:t>Se tomaron estos valores por mera curiosidad de conocer cual es la categoria que produce mayor PIB en este país</w:t>
      </w:r>
    </w:p>
    <w:p>
      <w:pPr>
        <w:pStyle w:val="style0"/>
        <w:jc w:val="both"/>
        <w:rPr>
          <w:rFonts w:ascii="Arial" w:cs="Arial" w:hAnsi="Arial"/>
          <w:sz w:val="24"/>
          <w:szCs w:val="24"/>
        </w:rPr>
      </w:pPr>
    </w:p>
    <w:p>
      <w:pPr>
        <w:pStyle w:val="style0"/>
        <w:jc w:val="both"/>
        <w:rPr>
          <w:rFonts w:ascii="Arial" w:cs="Arial" w:hAnsi="Arial"/>
          <w:b/>
          <w:bCs/>
          <w:sz w:val="24"/>
          <w:szCs w:val="24"/>
        </w:rPr>
      </w:pPr>
      <w:r>
        <w:rPr>
          <w:rFonts w:ascii="Arial" w:cs="Arial" w:hAnsi="Arial"/>
          <w:b/>
          <w:bCs/>
          <w:sz w:val="24"/>
          <w:szCs w:val="24"/>
        </w:rPr>
        <w:t xml:space="preserve">Atributos de la tabla: </w:t>
      </w:r>
    </w:p>
    <w:p>
      <w:pPr>
        <w:pStyle w:val="style179"/>
        <w:numPr>
          <w:ilvl w:val="0"/>
          <w:numId w:val="4"/>
        </w:numPr>
        <w:ind w:left="360"/>
        <w:jc w:val="both"/>
        <w:rPr>
          <w:rFonts w:ascii="Arial" w:cs="Arial" w:hAnsi="Arial"/>
          <w:sz w:val="24"/>
          <w:szCs w:val="24"/>
        </w:rPr>
      </w:pPr>
      <w:r>
        <w:rPr>
          <w:rFonts w:ascii="Arial" w:cs="Arial" w:hAnsi="Arial"/>
          <w:sz w:val="24"/>
          <w:szCs w:val="24"/>
        </w:rPr>
        <w:t>Codcategoria</w:t>
      </w:r>
    </w:p>
    <w:p>
      <w:pPr>
        <w:pStyle w:val="style179"/>
        <w:numPr>
          <w:ilvl w:val="0"/>
          <w:numId w:val="4"/>
        </w:numPr>
        <w:ind w:left="360"/>
        <w:jc w:val="both"/>
        <w:rPr>
          <w:rFonts w:ascii="Arial" w:cs="Arial" w:hAnsi="Arial"/>
          <w:sz w:val="24"/>
          <w:szCs w:val="24"/>
        </w:rPr>
      </w:pPr>
      <w:r>
        <w:rPr>
          <w:rFonts w:ascii="Arial" w:cs="Arial" w:hAnsi="Arial"/>
          <w:sz w:val="24"/>
          <w:szCs w:val="24"/>
        </w:rPr>
        <w:t>Categorías</w:t>
      </w:r>
    </w:p>
    <w:p>
      <w:pPr>
        <w:pStyle w:val="style179"/>
        <w:numPr>
          <w:ilvl w:val="0"/>
          <w:numId w:val="4"/>
        </w:numPr>
        <w:ind w:left="360"/>
        <w:jc w:val="both"/>
        <w:rPr>
          <w:rFonts w:ascii="Arial" w:cs="Arial" w:hAnsi="Arial"/>
          <w:sz w:val="24"/>
          <w:szCs w:val="24"/>
        </w:rPr>
      </w:pPr>
      <w:r>
        <w:rPr>
          <w:rFonts w:ascii="Arial" w:cs="Arial" w:hAnsi="Arial"/>
          <w:sz w:val="24"/>
          <w:szCs w:val="24"/>
        </w:rPr>
        <w:t>Año</w:t>
      </w:r>
    </w:p>
    <w:p>
      <w:pPr>
        <w:pStyle w:val="style179"/>
        <w:numPr>
          <w:ilvl w:val="0"/>
          <w:numId w:val="4"/>
        </w:numPr>
        <w:ind w:left="360"/>
        <w:jc w:val="both"/>
        <w:rPr>
          <w:rFonts w:ascii="Arial" w:cs="Arial" w:hAnsi="Arial"/>
          <w:sz w:val="24"/>
          <w:szCs w:val="24"/>
        </w:rPr>
      </w:pPr>
      <w:r>
        <w:rPr>
          <w:rFonts w:ascii="Arial" w:cs="Arial" w:hAnsi="Arial"/>
          <w:sz w:val="24"/>
          <w:szCs w:val="24"/>
        </w:rPr>
        <w:t>Valor Constante</w:t>
      </w:r>
    </w:p>
    <w:p>
      <w:pPr>
        <w:pStyle w:val="style179"/>
        <w:numPr>
          <w:ilvl w:val="0"/>
          <w:numId w:val="4"/>
        </w:numPr>
        <w:ind w:left="360"/>
        <w:jc w:val="both"/>
        <w:rPr>
          <w:rFonts w:ascii="Arial" w:cs="Arial" w:hAnsi="Arial"/>
          <w:sz w:val="24"/>
          <w:szCs w:val="24"/>
        </w:rPr>
      </w:pPr>
      <w:r>
        <w:rPr>
          <w:rFonts w:ascii="Arial" w:cs="Arial" w:hAnsi="Arial"/>
          <w:sz w:val="24"/>
          <w:szCs w:val="24"/>
        </w:rPr>
        <w:t>Valor Corriente</w:t>
      </w:r>
    </w:p>
    <w:p>
      <w:pPr>
        <w:pStyle w:val="style0"/>
        <w:rPr>
          <w:b/>
          <w:bCs/>
          <w:sz w:val="24"/>
          <w:szCs w:val="24"/>
          <w:lang w:val="es-ES"/>
        </w:rPr>
      </w:pPr>
    </w:p>
    <w:p>
      <w:pPr>
        <w:pStyle w:val="style0"/>
        <w:rPr>
          <w:b/>
          <w:bCs/>
          <w:sz w:val="24"/>
          <w:szCs w:val="24"/>
          <w:lang w:val="es-ES"/>
        </w:rPr>
      </w:pPr>
      <w:r>
        <w:rPr>
          <w:b/>
          <w:bCs/>
          <w:sz w:val="24"/>
          <w:szCs w:val="24"/>
          <w:lang w:val="es-ES"/>
        </w:rPr>
        <w:t>INCOGNITAS</w:t>
      </w:r>
    </w:p>
    <w:p>
      <w:pPr>
        <w:pStyle w:val="style179"/>
        <w:numPr>
          <w:ilvl w:val="0"/>
          <w:numId w:val="5"/>
        </w:numPr>
        <w:rPr>
          <w:b/>
          <w:bCs/>
          <w:sz w:val="24"/>
          <w:szCs w:val="24"/>
          <w:lang w:val="es-ES"/>
        </w:rPr>
      </w:pPr>
      <w:r>
        <w:rPr>
          <w:b/>
          <w:bCs/>
          <w:sz w:val="24"/>
          <w:szCs w:val="24"/>
          <w:lang w:val="es-ES"/>
        </w:rPr>
        <w:t xml:space="preserve">¿Cuál es la correlación en </w:t>
      </w:r>
      <w:r>
        <w:rPr>
          <w:b/>
          <w:bCs/>
          <w:sz w:val="24"/>
          <w:szCs w:val="24"/>
          <w:lang w:val="es-ES"/>
        </w:rPr>
        <w:t>3</w:t>
      </w:r>
      <w:r>
        <w:rPr>
          <w:b/>
          <w:bCs/>
          <w:sz w:val="24"/>
          <w:szCs w:val="24"/>
          <w:lang w:val="es-ES"/>
        </w:rPr>
        <w:t xml:space="preserve"> años del valor constante y el valor de corriente?</w:t>
      </w:r>
    </w:p>
    <w:p>
      <w:pPr>
        <w:pStyle w:val="style179"/>
        <w:numPr>
          <w:ilvl w:val="0"/>
          <w:numId w:val="5"/>
        </w:numPr>
        <w:rPr>
          <w:b/>
          <w:bCs/>
          <w:sz w:val="24"/>
          <w:szCs w:val="24"/>
          <w:lang w:val="es-ES"/>
        </w:rPr>
      </w:pPr>
      <w:r>
        <w:rPr>
          <w:b/>
          <w:bCs/>
          <w:sz w:val="24"/>
          <w:szCs w:val="24"/>
          <w:lang w:val="es-ES"/>
        </w:rPr>
        <w:t>¿Qué categoria produce un mayor valor constante?</w:t>
      </w:r>
    </w:p>
    <w:p>
      <w:pPr>
        <w:pStyle w:val="style179"/>
        <w:numPr>
          <w:ilvl w:val="0"/>
          <w:numId w:val="5"/>
        </w:numPr>
        <w:rPr>
          <w:b/>
          <w:bCs/>
          <w:sz w:val="24"/>
          <w:szCs w:val="24"/>
          <w:lang w:val="es-ES"/>
        </w:rPr>
      </w:pPr>
      <w:r>
        <w:rPr>
          <w:b/>
          <w:bCs/>
          <w:sz w:val="24"/>
          <w:szCs w:val="24"/>
          <w:lang w:val="es-ES"/>
        </w:rPr>
        <w:t>¿Cuál categoria produce un menor valor constante?</w:t>
      </w:r>
    </w:p>
    <w:p>
      <w:pPr>
        <w:pStyle w:val="style179"/>
        <w:numPr>
          <w:ilvl w:val="0"/>
          <w:numId w:val="5"/>
        </w:numPr>
        <w:rPr>
          <w:b/>
          <w:bCs/>
          <w:sz w:val="24"/>
          <w:szCs w:val="24"/>
          <w:lang w:val="es-ES"/>
        </w:rPr>
      </w:pPr>
      <w:r>
        <w:rPr>
          <w:b/>
          <w:bCs/>
          <w:sz w:val="24"/>
          <w:szCs w:val="24"/>
          <w:lang w:val="es-ES"/>
        </w:rPr>
        <w:t>Promedio de datos en el valor corriente y constante</w:t>
      </w: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179"/>
        <w:numPr>
          <w:ilvl w:val="0"/>
          <w:numId w:val="6"/>
        </w:numPr>
        <w:rPr>
          <w:b/>
          <w:bCs/>
          <w:sz w:val="24"/>
          <w:szCs w:val="24"/>
          <w:lang w:val="es-ES"/>
        </w:rPr>
      </w:pPr>
      <w:r>
        <w:rPr>
          <w:b/>
          <w:bCs/>
          <w:sz w:val="24"/>
          <w:szCs w:val="24"/>
          <w:lang w:val="es-ES"/>
        </w:rPr>
        <w:t>¿CUÁL ES LA CORRELACIÓN EN 3 AÑOS DEL VALOR CONSTANTE Y EL VALOR DE CORRIENTE?</w:t>
      </w:r>
    </w:p>
    <w:p>
      <w:pPr>
        <w:pStyle w:val="style179"/>
        <w:rPr>
          <w:sz w:val="24"/>
          <w:szCs w:val="24"/>
          <w:lang w:val="es-ES"/>
        </w:rPr>
      </w:pPr>
      <w:r>
        <w:rPr>
          <w:b/>
          <w:bCs/>
          <w:sz w:val="24"/>
          <w:szCs w:val="24"/>
          <w:lang w:val="es-ES"/>
        </w:rPr>
        <w:t>Hipotesis</w:t>
      </w:r>
      <w:r>
        <w:rPr>
          <w:b/>
          <w:bCs/>
          <w:sz w:val="24"/>
          <w:szCs w:val="24"/>
          <w:lang w:val="es-ES"/>
        </w:rPr>
        <w:t xml:space="preserve">: </w:t>
      </w:r>
      <w:r>
        <w:rPr>
          <w:sz w:val="24"/>
          <w:szCs w:val="24"/>
          <w:lang w:val="es-ES"/>
        </w:rPr>
        <w:t xml:space="preserve">Haciendo una pequeña investigación sobre el coste de vida del panameño entre los años 2017-2019 se puede notar como ha bajado el coste, entonces esto deberia afectar al PIB ya que más gente consumira </w:t>
      </w:r>
      <w:r>
        <w:rPr>
          <w:sz w:val="24"/>
          <w:szCs w:val="24"/>
          <w:lang w:val="es-ES"/>
        </w:rPr>
        <w:t>estos servicios entonces para 2019 el valor deberia ser más alto</w:t>
      </w:r>
    </w:p>
    <w:p>
      <w:pPr>
        <w:pStyle w:val="style179"/>
        <w:rPr>
          <w:b/>
          <w:bCs/>
          <w:sz w:val="24"/>
          <w:szCs w:val="24"/>
          <w:lang w:val="es-ES"/>
        </w:rPr>
      </w:pPr>
      <w:r>
        <w:rPr>
          <w:b/>
          <w:bCs/>
          <w:sz w:val="24"/>
          <w:szCs w:val="24"/>
          <w:lang w:val="es-ES"/>
        </w:rPr>
        <w:t>CONSTANTE</w:t>
      </w:r>
    </w:p>
    <w:p>
      <w:pPr>
        <w:pStyle w:val="style179"/>
        <w:rPr>
          <w:b/>
          <w:bCs/>
          <w:sz w:val="24"/>
          <w:szCs w:val="24"/>
          <w:lang w:val="es-ES"/>
        </w:rPr>
      </w:pPr>
      <w:r>
        <w:rPr>
          <w:noProof/>
        </w:rPr>
      </w:r>
      <w:r>
        <w:rPr>
          <w:noProof/>
        </w:rPr>
      </w:r>
      <w:r>
        <w:rPr>
          <w:noProof/>
        </w:rPr>
      </w:r>
      <w:r>
        <w:rPr>
          <w:noProof/>
        </w:rPr>
        <w:drawing>
          <wp:inline distL="114300" distT="0" distB="0" distR="114300">
            <wp:extent cx="5612130" cy="2257425"/>
            <wp:effectExtent l="0" t="0" r="0" b="0"/>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r>
    </w:p>
    <w:p>
      <w:pPr>
        <w:pStyle w:val="style179"/>
        <w:rPr>
          <w:b/>
          <w:bCs/>
          <w:sz w:val="24"/>
          <w:szCs w:val="24"/>
          <w:lang w:val="es-ES"/>
        </w:rPr>
      </w:pPr>
    </w:p>
    <w:p>
      <w:pPr>
        <w:pStyle w:val="style179"/>
        <w:rPr>
          <w:b/>
          <w:bCs/>
          <w:sz w:val="24"/>
          <w:szCs w:val="24"/>
          <w:lang w:val="es-ES"/>
        </w:rPr>
      </w:pPr>
      <w:r>
        <w:rPr>
          <w:b/>
          <w:bCs/>
          <w:sz w:val="24"/>
          <w:szCs w:val="24"/>
          <w:lang w:val="es-ES"/>
        </w:rPr>
        <w:t>CORRIENTE</w:t>
      </w:r>
    </w:p>
    <w:p>
      <w:pPr>
        <w:pStyle w:val="style179"/>
        <w:rPr>
          <w:b/>
          <w:bCs/>
          <w:sz w:val="24"/>
          <w:szCs w:val="24"/>
          <w:lang w:val="es-ES"/>
        </w:rPr>
      </w:pPr>
      <w:r>
        <w:rPr>
          <w:noProof/>
        </w:rPr>
      </w:r>
      <w:r>
        <w:rPr>
          <w:noProof/>
        </w:rPr>
      </w:r>
      <w:r>
        <w:rPr>
          <w:noProof/>
        </w:rPr>
      </w:r>
      <w:r>
        <w:rPr>
          <w:noProof/>
        </w:rPr>
        <w:drawing>
          <wp:inline distL="114300" distT="0" distB="0" distR="114300">
            <wp:extent cx="5612130" cy="2275205"/>
            <wp:effectExtent l="0" t="0" r="0" b="0"/>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r>
    </w:p>
    <w:p>
      <w:pPr>
        <w:pStyle w:val="style0"/>
        <w:rPr>
          <w:b/>
          <w:bCs/>
          <w:sz w:val="24"/>
          <w:szCs w:val="24"/>
          <w:lang w:val="es-ES"/>
        </w:rPr>
      </w:pPr>
    </w:p>
    <w:p>
      <w:pPr>
        <w:pStyle w:val="style0"/>
        <w:rPr>
          <w:b/>
          <w:bCs/>
          <w:sz w:val="24"/>
          <w:szCs w:val="24"/>
          <w:lang w:val="es-ES"/>
        </w:rPr>
      </w:pPr>
      <w:r>
        <w:rPr>
          <w:b/>
          <w:bCs/>
          <w:sz w:val="24"/>
          <w:szCs w:val="24"/>
          <w:lang w:val="es-ES"/>
        </w:rPr>
        <w:t>Como se puede apreciar en las gráficas la hipotesis es correcta, tanto el valor constante como el corriente empezaron a subir de manera considerable para el 2019</w:t>
      </w: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179"/>
        <w:numPr>
          <w:ilvl w:val="0"/>
          <w:numId w:val="6"/>
        </w:numPr>
        <w:rPr>
          <w:b/>
          <w:bCs/>
          <w:sz w:val="24"/>
          <w:szCs w:val="24"/>
          <w:lang w:val="es-ES"/>
        </w:rPr>
      </w:pPr>
      <w:r>
        <w:rPr>
          <w:b/>
          <w:bCs/>
          <w:sz w:val="24"/>
          <w:szCs w:val="24"/>
          <w:lang w:val="es-ES"/>
        </w:rPr>
        <w:t>¿Qué categoria produce un mayor valor constante?</w:t>
      </w: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r>
        <w:rPr>
          <w:noProof/>
        </w:rPr>
      </w:r>
      <w:r>
        <w:rPr>
          <w:noProof/>
        </w:rPr>
      </w:r>
      <w:r>
        <w:rPr>
          <w:noProof/>
        </w:rPr>
      </w:r>
      <w:r>
        <w:rPr>
          <w:noProof/>
        </w:rPr>
        <w:drawing>
          <wp:inline distL="114300" distT="0" distB="0" distR="114300">
            <wp:extent cx="5612130" cy="2438400"/>
            <wp:effectExtent l="0" t="0" r="0" b="0"/>
            <wp:docPr id="104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r>
    </w:p>
    <w:p>
      <w:pPr>
        <w:pStyle w:val="style0"/>
        <w:rPr>
          <w:b/>
          <w:bCs/>
          <w:sz w:val="24"/>
          <w:szCs w:val="24"/>
          <w:lang w:val="es-ES"/>
        </w:rPr>
      </w:pPr>
    </w:p>
    <w:p>
      <w:pPr>
        <w:pStyle w:val="style0"/>
        <w:rPr>
          <w:b/>
          <w:bCs/>
          <w:sz w:val="24"/>
          <w:szCs w:val="24"/>
          <w:lang w:val="es-ES"/>
        </w:rPr>
      </w:pPr>
      <w:r>
        <w:rPr>
          <w:b/>
          <w:bCs/>
          <w:sz w:val="24"/>
          <w:szCs w:val="24"/>
          <w:lang w:val="es-ES"/>
        </w:rPr>
        <w:t>Gracias a esta gráfica podemos determinar que las compras al por mayor y por menor y reparaciones de articulos son los que mayor valor constante en el PIB producen. Esto puede ser debido al crecimiento moderado del mercado al por mayor/menor. También se puede deducir que este mercado fue el que más aporto ya que para el año 2019 la venta de autos nuevos disminuyo un 5.9%</w:t>
      </w:r>
    </w:p>
    <w:p>
      <w:pPr>
        <w:pStyle w:val="style0"/>
        <w:rPr>
          <w:b/>
          <w:bCs/>
          <w:sz w:val="24"/>
          <w:szCs w:val="24"/>
          <w:lang w:val="es-ES"/>
        </w:rPr>
      </w:pPr>
    </w:p>
    <w:p>
      <w:pPr>
        <w:pStyle w:val="style179"/>
        <w:numPr>
          <w:ilvl w:val="0"/>
          <w:numId w:val="6"/>
        </w:numPr>
        <w:rPr>
          <w:b/>
          <w:bCs/>
          <w:sz w:val="24"/>
          <w:szCs w:val="24"/>
          <w:lang w:val="es-ES"/>
        </w:rPr>
      </w:pPr>
      <w:r>
        <w:rPr>
          <w:b/>
          <w:bCs/>
          <w:sz w:val="24"/>
          <w:szCs w:val="24"/>
          <w:lang w:val="es-ES"/>
        </w:rPr>
        <w:t>¿Qué categoria produce un menor valor constante?</w:t>
      </w:r>
    </w:p>
    <w:p>
      <w:pPr>
        <w:pStyle w:val="style179"/>
        <w:rPr>
          <w:b/>
          <w:bCs/>
          <w:sz w:val="24"/>
          <w:szCs w:val="24"/>
          <w:lang w:val="es-ES"/>
        </w:rPr>
      </w:pPr>
    </w:p>
    <w:p>
      <w:pPr>
        <w:pStyle w:val="style0"/>
        <w:rPr>
          <w:b/>
          <w:bCs/>
          <w:sz w:val="24"/>
          <w:szCs w:val="24"/>
          <w:lang w:val="es-ES"/>
        </w:rPr>
      </w:pPr>
      <w:r>
        <w:rPr>
          <w:b/>
          <w:bCs/>
          <w:sz w:val="24"/>
          <w:szCs w:val="24"/>
          <w:lang w:val="es-ES"/>
        </w:rPr>
        <w:t>Según la gráfica vista en el punto 2 podemos determinar que el sector de la pesca fue el que menor valor constante produjo llegando a un 452.4</w:t>
      </w:r>
      <w:r>
        <w:rPr>
          <w:b/>
          <w:bCs/>
          <w:sz w:val="24"/>
          <w:szCs w:val="24"/>
          <w:lang w:val="es-ES"/>
        </w:rPr>
        <w:t xml:space="preserve"> en total para los 3 años</w:t>
      </w: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179"/>
        <w:numPr>
          <w:ilvl w:val="0"/>
          <w:numId w:val="6"/>
        </w:numPr>
        <w:rPr>
          <w:b/>
          <w:bCs/>
          <w:sz w:val="24"/>
          <w:szCs w:val="24"/>
          <w:lang w:val="es-ES"/>
        </w:rPr>
      </w:pPr>
      <w:r>
        <w:rPr>
          <w:b/>
          <w:bCs/>
          <w:sz w:val="24"/>
          <w:szCs w:val="24"/>
          <w:lang w:val="es-ES"/>
        </w:rPr>
        <w:t>Promedio de datos</w:t>
      </w:r>
      <w:r>
        <w:rPr>
          <w:b/>
          <w:bCs/>
          <w:sz w:val="24"/>
          <w:szCs w:val="24"/>
          <w:lang w:val="es-ES"/>
        </w:rPr>
        <w:t xml:space="preserve">, media, varianza y desviación estandar, </w:t>
      </w:r>
      <w:r>
        <w:rPr>
          <w:b/>
          <w:bCs/>
          <w:sz w:val="24"/>
          <w:szCs w:val="24"/>
          <w:lang w:val="es-ES"/>
        </w:rPr>
        <w:t>en el valor corriente y constante</w:t>
      </w:r>
    </w:p>
    <w:p>
      <w:pPr>
        <w:pStyle w:val="style0"/>
        <w:rPr>
          <w:b/>
          <w:bCs/>
          <w:sz w:val="24"/>
          <w:szCs w:val="24"/>
          <w:lang w:val="es-ES"/>
        </w:rPr>
      </w:pPr>
      <w:r>
        <w:rPr>
          <w:b/>
          <w:bCs/>
          <w:sz w:val="24"/>
          <w:szCs w:val="24"/>
          <w:lang w:val="es-ES"/>
        </w:rPr>
        <w:t>PROMEDIO DE DATOS DE ACUERDO AL AÑO</w:t>
      </w:r>
    </w:p>
    <w:tbl>
      <w:tblPr>
        <w:tblW w:w="2694" w:type="dxa"/>
        <w:tblCellMar>
          <w:left w:w="70" w:type="dxa"/>
          <w:right w:w="70" w:type="dxa"/>
        </w:tblCellMar>
        <w:tblLook w:val="04A0" w:firstRow="1" w:lastRow="0" w:firstColumn="1" w:lastColumn="0" w:noHBand="0" w:noVBand="1"/>
      </w:tblPr>
      <w:tblGrid>
        <w:gridCol w:w="633"/>
        <w:gridCol w:w="2133"/>
      </w:tblGrid>
      <w:tr>
        <w:trPr>
          <w:trHeight w:val="330" w:hRule="atLeast"/>
        </w:trPr>
        <w:tc>
          <w:tcPr>
            <w:tcW w:w="587" w:type="dxa"/>
            <w:tcBorders>
              <w:top w:val="nil"/>
              <w:left w:val="nil"/>
              <w:bottom w:val="nil"/>
              <w:right w:val="nil"/>
            </w:tcBorders>
            <w:shd w:val="clear" w:color="auto" w:fill="auto"/>
            <w:noWrap/>
            <w:hideMark/>
          </w:tcPr>
          <w:p>
            <w:pPr>
              <w:pStyle w:val="style0"/>
              <w:spacing w:after="0" w:lineRule="auto" w:line="240"/>
              <w:rPr>
                <w:rFonts w:ascii="Times New Roman" w:cs="Times New Roman" w:eastAsia="Times New Roman" w:hAnsi="Times New Roman"/>
                <w:sz w:val="24"/>
                <w:szCs w:val="24"/>
                <w:lang w:eastAsia="es-PA"/>
              </w:rPr>
            </w:pPr>
          </w:p>
        </w:tc>
        <w:tc>
          <w:tcPr>
            <w:tcW w:w="2107" w:type="dxa"/>
            <w:tcBorders>
              <w:top w:val="single" w:sz="4" w:space="0" w:color="auto"/>
              <w:left w:val="single" w:sz="4" w:space="0" w:color="auto"/>
              <w:bottom w:val="single" w:sz="4" w:space="0" w:color="auto"/>
              <w:right w:val="single" w:sz="4" w:space="0" w:color="auto"/>
            </w:tcBorders>
            <w:shd w:val="clear" w:color="000000" w:fill="b4c6e7"/>
            <w:noWrap/>
            <w:hideMark/>
          </w:tcPr>
          <w:p>
            <w:pPr>
              <w:pStyle w:val="style0"/>
              <w:spacing w:after="0" w:lineRule="auto" w:line="240"/>
              <w:rPr>
                <w:rFonts w:ascii="Calibri" w:cs="Calibri" w:eastAsia="Times New Roman" w:hAnsi="Calibri"/>
                <w:color w:val="000000"/>
                <w:lang w:eastAsia="es-PA"/>
              </w:rPr>
            </w:pPr>
            <w:r>
              <w:t>Corriente/Constante</w:t>
            </w:r>
          </w:p>
        </w:tc>
      </w:tr>
      <w:tr>
        <w:tblPrEx/>
        <w:trPr>
          <w:trHeight w:val="330" w:hRule="atLeast"/>
        </w:trPr>
        <w:tc>
          <w:tcPr>
            <w:tcW w:w="587" w:type="dxa"/>
            <w:tcBorders>
              <w:top w:val="single" w:sz="4" w:space="0" w:color="auto"/>
              <w:left w:val="single" w:sz="4" w:space="0" w:color="auto"/>
              <w:bottom w:val="single" w:sz="4" w:space="0" w:color="auto"/>
              <w:right w:val="single" w:sz="4" w:space="0" w:color="auto"/>
            </w:tcBorders>
            <w:shd w:val="clear" w:color="000000" w:fill="b4c6e7"/>
            <w:noWrap/>
            <w:hideMark/>
          </w:tcPr>
          <w:p>
            <w:pPr>
              <w:pStyle w:val="style0"/>
              <w:spacing w:after="0" w:lineRule="auto" w:line="240"/>
              <w:jc w:val="right"/>
              <w:rPr>
                <w:rFonts w:ascii="Calibri" w:cs="Calibri" w:eastAsia="Times New Roman" w:hAnsi="Calibri"/>
                <w:color w:val="000000"/>
                <w:lang w:eastAsia="es-PA"/>
              </w:rPr>
            </w:pPr>
            <w:r>
              <w:t>2017</w:t>
            </w:r>
          </w:p>
        </w:tc>
        <w:tc>
          <w:tcPr>
            <w:tcW w:w="2107" w:type="dxa"/>
            <w:tcBorders>
              <w:top w:val="nil"/>
              <w:left w:val="nil"/>
              <w:bottom w:val="single" w:sz="4" w:space="0" w:color="auto"/>
              <w:right w:val="single" w:sz="4" w:space="0" w:color="auto"/>
            </w:tcBorders>
            <w:shd w:val="clear" w:color="000000" w:fill="d9e1f2"/>
            <w:noWrap/>
            <w:hideMark/>
          </w:tcPr>
          <w:p>
            <w:pPr>
              <w:pStyle w:val="style0"/>
              <w:spacing w:after="0" w:lineRule="auto" w:line="240"/>
              <w:jc w:val="right"/>
              <w:rPr>
                <w:rFonts w:ascii="Calibri" w:cs="Calibri" w:eastAsia="Times New Roman" w:hAnsi="Calibri"/>
                <w:color w:val="000000"/>
                <w:lang w:eastAsia="es-PA"/>
              </w:rPr>
            </w:pPr>
            <w:r>
              <w:t>0.646983032</w:t>
            </w:r>
          </w:p>
        </w:tc>
      </w:tr>
      <w:tr>
        <w:tblPrEx/>
        <w:trPr>
          <w:trHeight w:val="330" w:hRule="atLeast"/>
        </w:trPr>
        <w:tc>
          <w:tcPr>
            <w:tcW w:w="587" w:type="dxa"/>
            <w:tcBorders>
              <w:top w:val="nil"/>
              <w:left w:val="single" w:sz="4" w:space="0" w:color="auto"/>
              <w:bottom w:val="single" w:sz="4" w:space="0" w:color="auto"/>
              <w:right w:val="single" w:sz="4" w:space="0" w:color="auto"/>
            </w:tcBorders>
            <w:shd w:val="clear" w:color="000000" w:fill="b4c6e7"/>
            <w:noWrap/>
            <w:hideMark/>
          </w:tcPr>
          <w:p>
            <w:pPr>
              <w:pStyle w:val="style0"/>
              <w:spacing w:after="0" w:lineRule="auto" w:line="240"/>
              <w:jc w:val="right"/>
              <w:rPr>
                <w:rFonts w:ascii="Calibri" w:cs="Calibri" w:eastAsia="Times New Roman" w:hAnsi="Calibri"/>
                <w:color w:val="000000"/>
                <w:lang w:eastAsia="es-PA"/>
              </w:rPr>
            </w:pPr>
            <w:r>
              <w:t>2018</w:t>
            </w:r>
          </w:p>
        </w:tc>
        <w:tc>
          <w:tcPr>
            <w:tcW w:w="2107" w:type="dxa"/>
            <w:tcBorders>
              <w:top w:val="nil"/>
              <w:left w:val="nil"/>
              <w:bottom w:val="single" w:sz="4" w:space="0" w:color="auto"/>
              <w:right w:val="single" w:sz="4" w:space="0" w:color="auto"/>
            </w:tcBorders>
            <w:shd w:val="clear" w:color="000000" w:fill="d9e1f2"/>
            <w:noWrap/>
            <w:hideMark/>
          </w:tcPr>
          <w:p>
            <w:pPr>
              <w:pStyle w:val="style0"/>
              <w:spacing w:after="0" w:lineRule="auto" w:line="240"/>
              <w:jc w:val="right"/>
              <w:rPr>
                <w:rFonts w:ascii="Calibri" w:cs="Calibri" w:eastAsia="Times New Roman" w:hAnsi="Calibri"/>
                <w:color w:val="000000"/>
                <w:lang w:eastAsia="es-PA"/>
              </w:rPr>
            </w:pPr>
            <w:r>
              <w:t>0.642418581</w:t>
            </w:r>
          </w:p>
        </w:tc>
      </w:tr>
      <w:tr>
        <w:tblPrEx/>
        <w:trPr>
          <w:trHeight w:val="330" w:hRule="atLeast"/>
        </w:trPr>
        <w:tc>
          <w:tcPr>
            <w:tcW w:w="587" w:type="dxa"/>
            <w:tcBorders>
              <w:top w:val="nil"/>
              <w:left w:val="single" w:sz="4" w:space="0" w:color="auto"/>
              <w:bottom w:val="single" w:sz="4" w:space="0" w:color="auto"/>
              <w:right w:val="single" w:sz="4" w:space="0" w:color="auto"/>
            </w:tcBorders>
            <w:shd w:val="clear" w:color="000000" w:fill="b4c6e7"/>
            <w:noWrap/>
            <w:hideMark/>
          </w:tcPr>
          <w:p>
            <w:pPr>
              <w:pStyle w:val="style0"/>
              <w:spacing w:after="0" w:lineRule="auto" w:line="240"/>
              <w:jc w:val="right"/>
              <w:rPr>
                <w:rFonts w:ascii="Calibri" w:cs="Calibri" w:eastAsia="Times New Roman" w:hAnsi="Calibri"/>
                <w:color w:val="000000"/>
                <w:lang w:eastAsia="es-PA"/>
              </w:rPr>
            </w:pPr>
            <w:r>
              <w:t>2019</w:t>
            </w:r>
          </w:p>
        </w:tc>
        <w:tc>
          <w:tcPr>
            <w:tcW w:w="2107" w:type="dxa"/>
            <w:tcBorders>
              <w:top w:val="nil"/>
              <w:left w:val="nil"/>
              <w:bottom w:val="single" w:sz="4" w:space="0" w:color="auto"/>
              <w:right w:val="single" w:sz="4" w:space="0" w:color="auto"/>
            </w:tcBorders>
            <w:shd w:val="clear" w:color="000000" w:fill="d9e1f2"/>
            <w:noWrap/>
            <w:hideMark/>
          </w:tcPr>
          <w:p>
            <w:pPr>
              <w:pStyle w:val="style0"/>
              <w:spacing w:after="0" w:lineRule="auto" w:line="240"/>
              <w:jc w:val="right"/>
              <w:rPr>
                <w:rFonts w:ascii="Calibri" w:cs="Calibri" w:eastAsia="Times New Roman" w:hAnsi="Calibri"/>
                <w:color w:val="000000"/>
                <w:lang w:eastAsia="es-PA"/>
              </w:rPr>
            </w:pPr>
            <w:r>
              <w:t>0.641413791</w:t>
            </w:r>
          </w:p>
        </w:tc>
      </w:tr>
    </w:tbl>
    <w:p>
      <w:pPr>
        <w:pStyle w:val="style0"/>
        <w:rPr>
          <w:b/>
          <w:bCs/>
          <w:sz w:val="24"/>
          <w:szCs w:val="24"/>
          <w:lang w:val="es-ES"/>
        </w:rPr>
      </w:pPr>
    </w:p>
    <w:p>
      <w:pPr>
        <w:pStyle w:val="style0"/>
        <w:rPr>
          <w:b/>
          <w:bCs/>
          <w:sz w:val="24"/>
          <w:szCs w:val="24"/>
          <w:lang w:val="es-ES"/>
        </w:rPr>
      </w:pPr>
      <w:r>
        <w:rPr>
          <w:b/>
          <w:bCs/>
          <w:sz w:val="24"/>
          <w:szCs w:val="24"/>
          <w:lang w:val="es-ES"/>
        </w:rPr>
        <w:t>MEDIA,VARIANZA Y DESVIACIÓN ESTANDAR TOTAL</w:t>
      </w:r>
    </w:p>
    <w:tbl>
      <w:tblPr>
        <w:tblW w:w="8380" w:type="dxa"/>
        <w:tblCellMar>
          <w:left w:w="70" w:type="dxa"/>
          <w:right w:w="70" w:type="dxa"/>
        </w:tblCellMar>
        <w:tblLook w:val="04A0" w:firstRow="1" w:lastRow="0" w:firstColumn="1" w:lastColumn="0" w:noHBand="0" w:noVBand="1"/>
      </w:tblPr>
      <w:tblGrid>
        <w:gridCol w:w="2760"/>
        <w:gridCol w:w="3140"/>
        <w:gridCol w:w="2480"/>
      </w:tblGrid>
      <w:tr>
        <w:trPr>
          <w:trHeight w:val="288" w:hRule="atLeast"/>
        </w:trPr>
        <w:tc>
          <w:tcPr>
            <w:tcW w:w="2760" w:type="dxa"/>
            <w:tcBorders>
              <w:top w:val="nil"/>
              <w:left w:val="nil"/>
              <w:bottom w:val="nil"/>
              <w:right w:val="nil"/>
            </w:tcBorders>
            <w:shd w:val="clear" w:color="auto" w:fill="auto"/>
            <w:noWrap/>
            <w:vAlign w:val="bottom"/>
            <w:hideMark/>
          </w:tcPr>
          <w:p>
            <w:pPr>
              <w:pStyle w:val="style0"/>
              <w:spacing w:after="0" w:lineRule="auto" w:line="240"/>
              <w:rPr>
                <w:rFonts w:ascii="Times New Roman" w:cs="Times New Roman" w:eastAsia="Times New Roman" w:hAnsi="Times New Roman"/>
                <w:kern w:val="0"/>
                <w:sz w:val="24"/>
                <w:szCs w:val="24"/>
                <w:lang w:eastAsia="es-PA"/>
                <w14:ligatures xmlns:w14="http://schemas.microsoft.com/office/word/2010/wordml" w14:val="none"/>
              </w:rPr>
            </w:pPr>
          </w:p>
        </w:tc>
        <w:tc>
          <w:tcPr>
            <w:tcW w:w="314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pPr>
              <w:pStyle w:val="style0"/>
              <w:spacing w:after="0" w:lineRule="auto" w:line="240"/>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VALOR CORRIENTE</w:t>
            </w:r>
          </w:p>
        </w:tc>
        <w:tc>
          <w:tcPr>
            <w:tcW w:w="2480" w:type="dxa"/>
            <w:tcBorders>
              <w:top w:val="single" w:sz="4" w:space="0" w:color="auto"/>
              <w:left w:val="nil"/>
              <w:bottom w:val="single" w:sz="4" w:space="0" w:color="auto"/>
              <w:right w:val="single" w:sz="4" w:space="0" w:color="auto"/>
            </w:tcBorders>
            <w:shd w:val="clear" w:color="000000" w:fill="ffd966"/>
            <w:noWrap/>
            <w:vAlign w:val="bottom"/>
            <w:hideMark/>
          </w:tcPr>
          <w:p>
            <w:pPr>
              <w:pStyle w:val="style0"/>
              <w:spacing w:after="0" w:lineRule="auto" w:line="240"/>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VALOR CONSTANTE</w:t>
            </w:r>
          </w:p>
        </w:tc>
      </w:tr>
      <w:tr>
        <w:tblPrEx/>
        <w:trPr>
          <w:trHeight w:val="288" w:hRule="atLeast"/>
        </w:trPr>
        <w:tc>
          <w:tcPr>
            <w:tcW w:w="276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pPr>
              <w:pStyle w:val="style0"/>
              <w:spacing w:after="0" w:lineRule="auto" w:line="240"/>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MEDIA</w:t>
            </w:r>
          </w:p>
        </w:tc>
        <w:tc>
          <w:tcPr>
            <w:tcW w:w="3140" w:type="dxa"/>
            <w:tcBorders>
              <w:top w:val="nil"/>
              <w:left w:val="nil"/>
              <w:bottom w:val="single" w:sz="4" w:space="0" w:color="auto"/>
              <w:right w:val="single" w:sz="4" w:space="0" w:color="auto"/>
            </w:tcBorders>
            <w:shd w:val="clear" w:color="000000" w:fill="fff2cc"/>
            <w:noWrap/>
            <w:vAlign w:val="bottom"/>
            <w:hideMark/>
          </w:tcPr>
          <w:p>
            <w:pPr>
              <w:pStyle w:val="style0"/>
              <w:spacing w:after="0" w:lineRule="auto" w:line="240"/>
              <w:jc w:val="right"/>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30302.06842</w:t>
            </w:r>
          </w:p>
        </w:tc>
        <w:tc>
          <w:tcPr>
            <w:tcW w:w="2480" w:type="dxa"/>
            <w:tcBorders>
              <w:top w:val="nil"/>
              <w:left w:val="nil"/>
              <w:bottom w:val="single" w:sz="4" w:space="0" w:color="auto"/>
              <w:right w:val="single" w:sz="4" w:space="0" w:color="auto"/>
            </w:tcBorders>
            <w:shd w:val="clear" w:color="000000" w:fill="fff2cc"/>
            <w:noWrap/>
            <w:vAlign w:val="bottom"/>
            <w:hideMark/>
          </w:tcPr>
          <w:p>
            <w:pPr>
              <w:pStyle w:val="style0"/>
              <w:spacing w:after="0" w:lineRule="auto" w:line="240"/>
              <w:jc w:val="right"/>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19500.37895</w:t>
            </w:r>
          </w:p>
        </w:tc>
      </w:tr>
      <w:tr>
        <w:tblPrEx/>
        <w:trPr>
          <w:trHeight w:val="288" w:hRule="atLeast"/>
        </w:trPr>
        <w:tc>
          <w:tcPr>
            <w:tcW w:w="2760" w:type="dxa"/>
            <w:tcBorders>
              <w:top w:val="nil"/>
              <w:left w:val="single" w:sz="4" w:space="0" w:color="auto"/>
              <w:bottom w:val="single" w:sz="4" w:space="0" w:color="auto"/>
              <w:right w:val="single" w:sz="4" w:space="0" w:color="auto"/>
            </w:tcBorders>
            <w:shd w:val="clear" w:color="000000" w:fill="ffc000"/>
            <w:noWrap/>
            <w:vAlign w:val="bottom"/>
            <w:hideMark/>
          </w:tcPr>
          <w:p>
            <w:pPr>
              <w:pStyle w:val="style0"/>
              <w:spacing w:after="0" w:lineRule="auto" w:line="240"/>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VARIANZA</w:t>
            </w:r>
          </w:p>
        </w:tc>
        <w:tc>
          <w:tcPr>
            <w:tcW w:w="3140" w:type="dxa"/>
            <w:tcBorders>
              <w:top w:val="nil"/>
              <w:left w:val="nil"/>
              <w:bottom w:val="single" w:sz="4" w:space="0" w:color="auto"/>
              <w:right w:val="single" w:sz="4" w:space="0" w:color="auto"/>
            </w:tcBorders>
            <w:shd w:val="clear" w:color="000000" w:fill="fff2cc"/>
            <w:noWrap/>
            <w:vAlign w:val="bottom"/>
            <w:hideMark/>
          </w:tcPr>
          <w:p>
            <w:pPr>
              <w:pStyle w:val="style0"/>
              <w:spacing w:after="0" w:lineRule="auto" w:line="240"/>
              <w:jc w:val="right"/>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3322967482</w:t>
            </w:r>
          </w:p>
        </w:tc>
        <w:tc>
          <w:tcPr>
            <w:tcW w:w="2480" w:type="dxa"/>
            <w:tcBorders>
              <w:top w:val="nil"/>
              <w:left w:val="nil"/>
              <w:bottom w:val="single" w:sz="4" w:space="0" w:color="auto"/>
              <w:right w:val="single" w:sz="4" w:space="0" w:color="auto"/>
            </w:tcBorders>
            <w:shd w:val="clear" w:color="000000" w:fill="fff2cc"/>
            <w:noWrap/>
            <w:vAlign w:val="bottom"/>
            <w:hideMark/>
          </w:tcPr>
          <w:p>
            <w:pPr>
              <w:pStyle w:val="style0"/>
              <w:spacing w:after="0" w:lineRule="auto" w:line="240"/>
              <w:jc w:val="right"/>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1363056534</w:t>
            </w:r>
          </w:p>
        </w:tc>
      </w:tr>
      <w:tr>
        <w:tblPrEx/>
        <w:trPr>
          <w:trHeight w:val="288" w:hRule="atLeast"/>
        </w:trPr>
        <w:tc>
          <w:tcPr>
            <w:tcW w:w="2760" w:type="dxa"/>
            <w:tcBorders>
              <w:top w:val="nil"/>
              <w:left w:val="single" w:sz="4" w:space="0" w:color="auto"/>
              <w:bottom w:val="single" w:sz="4" w:space="0" w:color="auto"/>
              <w:right w:val="single" w:sz="4" w:space="0" w:color="auto"/>
            </w:tcBorders>
            <w:shd w:val="clear" w:color="000000" w:fill="ffc000"/>
            <w:noWrap/>
            <w:vAlign w:val="bottom"/>
            <w:hideMark/>
          </w:tcPr>
          <w:p>
            <w:pPr>
              <w:pStyle w:val="style0"/>
              <w:spacing w:after="0" w:lineRule="auto" w:line="240"/>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DESVIACIÓN ESTANDAR</w:t>
            </w:r>
          </w:p>
        </w:tc>
        <w:tc>
          <w:tcPr>
            <w:tcW w:w="3140" w:type="dxa"/>
            <w:tcBorders>
              <w:top w:val="nil"/>
              <w:left w:val="nil"/>
              <w:bottom w:val="single" w:sz="4" w:space="0" w:color="auto"/>
              <w:right w:val="single" w:sz="4" w:space="0" w:color="auto"/>
            </w:tcBorders>
            <w:shd w:val="clear" w:color="000000" w:fill="fff2cc"/>
            <w:noWrap/>
            <w:vAlign w:val="bottom"/>
            <w:hideMark/>
          </w:tcPr>
          <w:p>
            <w:pPr>
              <w:pStyle w:val="style0"/>
              <w:spacing w:after="0" w:lineRule="auto" w:line="240"/>
              <w:jc w:val="right"/>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56107.70408</w:t>
            </w:r>
          </w:p>
        </w:tc>
        <w:tc>
          <w:tcPr>
            <w:tcW w:w="2480" w:type="dxa"/>
            <w:tcBorders>
              <w:top w:val="nil"/>
              <w:left w:val="nil"/>
              <w:bottom w:val="single" w:sz="4" w:space="0" w:color="auto"/>
              <w:right w:val="single" w:sz="4" w:space="0" w:color="auto"/>
            </w:tcBorders>
            <w:shd w:val="clear" w:color="000000" w:fill="fff2cc"/>
            <w:noWrap/>
            <w:vAlign w:val="bottom"/>
            <w:hideMark/>
          </w:tcPr>
          <w:p>
            <w:pPr>
              <w:pStyle w:val="style0"/>
              <w:spacing w:after="0" w:lineRule="auto" w:line="240"/>
              <w:jc w:val="right"/>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35934.89553</w:t>
            </w:r>
          </w:p>
        </w:tc>
      </w:tr>
    </w:tbl>
    <w:p>
      <w:pPr>
        <w:pStyle w:val="style0"/>
        <w:rPr>
          <w:b/>
          <w:bCs/>
          <w:sz w:val="24"/>
          <w:szCs w:val="24"/>
          <w:lang w:val="es-ES"/>
        </w:rPr>
      </w:pPr>
    </w:p>
    <w:p>
      <w:pPr>
        <w:pStyle w:val="style0"/>
        <w:rPr>
          <w:b/>
          <w:bCs/>
          <w:sz w:val="24"/>
          <w:szCs w:val="24"/>
          <w:lang w:val="es-ES"/>
        </w:rPr>
      </w:pPr>
      <w:r>
        <w:rPr>
          <w:noProof/>
        </w:rPr>
      </w:r>
      <w:r>
        <w:rPr>
          <w:noProof/>
        </w:rPr>
      </w:r>
      <w:r>
        <w:rPr>
          <w:noProof/>
        </w:rPr>
      </w:r>
      <w:r>
        <w:rPr>
          <w:noProof/>
        </w:rPr>
        <w:drawing>
          <wp:inline distL="114300" distT="0" distB="0" distR="114300">
            <wp:extent cx="4572000" cy="2743200"/>
            <wp:effectExtent l="0" t="0" r="0" b="0"/>
            <wp:docPr id="104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r>
    </w:p>
    <w:p>
      <w:pPr>
        <w:pStyle w:val="style0"/>
        <w:rPr>
          <w:b/>
          <w:bCs/>
          <w:sz w:val="24"/>
          <w:szCs w:val="24"/>
          <w:lang w:val="es-ES"/>
        </w:rPr>
      </w:pPr>
      <w:r>
        <w:rPr>
          <w:b/>
          <w:bCs/>
          <w:sz w:val="24"/>
          <w:szCs w:val="24"/>
          <w:lang w:val="es-ES"/>
        </w:rPr>
        <w:t>Gracias a estos datos y tablas podemos notar como en 2017 Panamá tuvo un mayor valor en el PIB de Actividad economica. Pero los datos en esta tabla representan que 2019 fue el que menor valor constante/corriente se tuvo pero auque fueran más bajos no significa que el PIB total de 2019 fue disminuyendo, al contrario, en este año el PIB total llego a incrementar un 3.0% con un indice de disminución del 0.2%</w:t>
      </w:r>
    </w:p>
    <w:p>
      <w:pPr>
        <w:pStyle w:val="style0"/>
        <w:rPr>
          <w:b/>
          <w:bCs/>
          <w:sz w:val="24"/>
          <w:szCs w:val="24"/>
          <w:lang w:val="es-ES"/>
        </w:rPr>
      </w:pPr>
      <w:r>
        <w:rPr>
          <w:b/>
          <w:bCs/>
          <w:sz w:val="24"/>
          <w:szCs w:val="24"/>
          <w:lang w:val="es-ES"/>
        </w:rPr>
        <w:t xml:space="preserve">REFERENCIA: </w:t>
      </w:r>
      <w:r>
        <w:rPr>
          <w:b/>
          <w:bCs/>
          <w:sz w:val="24"/>
          <w:szCs w:val="24"/>
          <w:lang w:val="es-ES"/>
        </w:rPr>
        <w:t>(</w:t>
      </w:r>
      <w:r>
        <w:rPr/>
        <w:fldChar w:fldCharType="begin"/>
      </w:r>
      <w:r>
        <w:instrText xml:space="preserve"> HYPERLINK "https://datosmacro.expansion.com/pib/panama?anio=2019" \l ":~:text=Se%20trata%20de%20una%20tasa,M€%20respecto%20a%202018" </w:instrText>
      </w:r>
      <w:r>
        <w:rPr/>
        <w:fldChar w:fldCharType="separate"/>
      </w:r>
      <w:r>
        <w:rPr>
          <w:rStyle w:val="style85"/>
          <w:b/>
          <w:bCs/>
          <w:sz w:val="24"/>
          <w:szCs w:val="24"/>
          <w:lang w:val="es-ES"/>
        </w:rPr>
        <w:t>https://datosmacro.expansion.com/pib/panama?anio=2019#:~:text=Se%20trata%20de%20una%20tasa,M€%20respecto%20a%202018</w:t>
      </w:r>
      <w:r>
        <w:rPr/>
        <w:fldChar w:fldCharType="end"/>
      </w:r>
      <w:r>
        <w:rPr>
          <w:b/>
          <w:bCs/>
          <w:sz w:val="24"/>
          <w:szCs w:val="24"/>
          <w:lang w:val="es-ES"/>
        </w:rPr>
        <w:t>.</w:t>
      </w:r>
      <w:r>
        <w:rPr>
          <w:b/>
          <w:bCs/>
          <w:sz w:val="24"/>
          <w:szCs w:val="24"/>
          <w:lang w:val="es-ES"/>
        </w:rPr>
        <w:t>)</w:t>
      </w:r>
    </w:p>
    <w:p>
      <w:pPr>
        <w:pStyle w:val="style0"/>
        <w:rPr>
          <w:b/>
          <w:bCs/>
          <w:sz w:val="24"/>
          <w:szCs w:val="24"/>
          <w:lang w:val="es-ES"/>
        </w:rPr>
      </w:pPr>
      <w:r>
        <w:t>(</w:t>
      </w:r>
      <w:r>
        <w:rPr/>
        <w:fldChar w:fldCharType="begin"/>
      </w:r>
      <w:r>
        <w:instrText xml:space="preserve"> HYPERLINK "https://retailpanama.com/el-comercio-al-por-mayor-y-menor-durante-el-primer-trimestre-2019/" </w:instrText>
      </w:r>
      <w:r>
        <w:rPr/>
        <w:fldChar w:fldCharType="separate"/>
      </w:r>
      <w:r>
        <w:rPr>
          <w:rStyle w:val="style85"/>
          <w:b/>
          <w:bCs/>
          <w:sz w:val="24"/>
          <w:szCs w:val="24"/>
          <w:lang w:val="es-ES"/>
        </w:rPr>
        <w:t>https://retailpanama.com/el-comercio-al-por-mayor-y-menor-durante-el-primer-trimestre-2019/</w:t>
      </w:r>
      <w:r>
        <w:rPr/>
        <w:fldChar w:fldCharType="end"/>
      </w:r>
      <w:r>
        <w:rPr>
          <w:rStyle w:val="style85"/>
          <w:b/>
          <w:bCs/>
          <w:sz w:val="24"/>
          <w:szCs w:val="24"/>
          <w:lang w:val="es-ES"/>
        </w:rPr>
        <w:t>)</w:t>
      </w:r>
    </w:p>
    <w:p>
      <w:pPr>
        <w:pStyle w:val="style0"/>
        <w:rPr>
          <w:b/>
          <w:bCs/>
          <w:sz w:val="24"/>
          <w:szCs w:val="24"/>
          <w:lang w:val="es-ES"/>
        </w:rPr>
      </w:pPr>
      <w:r>
        <w:t>(</w:t>
      </w:r>
      <w:r>
        <w:rPr/>
        <w:fldChar w:fldCharType="begin"/>
      </w:r>
      <w:r>
        <w:instrText xml:space="preserve"> HYPERLINK "https://www.prensa.com/impresa/economia/venta-de-vehiculos-nuevos-disminuyo-un-5-9-en-2019/" </w:instrText>
      </w:r>
      <w:r>
        <w:rPr/>
        <w:fldChar w:fldCharType="separate"/>
      </w:r>
      <w:r>
        <w:rPr>
          <w:rStyle w:val="style85"/>
          <w:b/>
          <w:bCs/>
          <w:sz w:val="24"/>
          <w:szCs w:val="24"/>
          <w:lang w:val="es-ES"/>
        </w:rPr>
        <w:t>https://www.prensa.com/impresa/economia/venta-de-vehiculos-nuevos-disminuyo-un-5-9-en-2019/</w:t>
      </w:r>
      <w:r>
        <w:rPr/>
        <w:fldChar w:fldCharType="end"/>
      </w:r>
      <w:r>
        <w:rPr>
          <w:rStyle w:val="style85"/>
          <w:b/>
          <w:bCs/>
          <w:sz w:val="24"/>
          <w:szCs w:val="24"/>
          <w:lang w:val="es-ES"/>
        </w:rPr>
        <w:t>)</w:t>
      </w:r>
    </w:p>
    <w:p>
      <w:pPr>
        <w:pStyle w:val="style0"/>
        <w:ind w:left="360"/>
        <w:rPr>
          <w:b/>
          <w:bCs/>
          <w:sz w:val="24"/>
          <w:szCs w:val="24"/>
          <w:lang w:val="es-ES"/>
        </w:rPr>
      </w:pPr>
      <w:r>
        <w:t>(</w:t>
      </w:r>
      <w:r>
        <w:rPr/>
        <w:fldChar w:fldCharType="begin"/>
      </w:r>
      <w:r>
        <w:instrText xml:space="preserve"> HYPERLINK "https://datosmacro.expansion.com/pib/panama?anio=2019" \l ":~:text=Se%20trata%20de%20una%20tasa,M€%20respecto%20a%202018" </w:instrText>
      </w:r>
      <w:r>
        <w:rPr/>
        <w:fldChar w:fldCharType="separate"/>
      </w:r>
      <w:r>
        <w:rPr>
          <w:rStyle w:val="style85"/>
          <w:b/>
          <w:bCs/>
          <w:sz w:val="24"/>
          <w:szCs w:val="24"/>
          <w:lang w:val="es-ES"/>
        </w:rPr>
        <w:t>https://datosmacro.expansion.com/pib/panama?anio=2019#:~:text=Se%20trata%20de%20una%20tasa,M€%20respecto%20a%202018</w:t>
      </w:r>
      <w:r>
        <w:rPr/>
        <w:fldChar w:fldCharType="end"/>
      </w:r>
      <w:r>
        <w:rPr>
          <w:b/>
          <w:bCs/>
          <w:sz w:val="24"/>
          <w:szCs w:val="24"/>
          <w:lang w:val="es-ES"/>
        </w:rPr>
        <w:t>)</w:t>
      </w:r>
    </w:p>
    <w:p>
      <w:pPr>
        <w:pStyle w:val="style0"/>
        <w:rPr>
          <w:b/>
          <w:bCs/>
          <w:sz w:val="24"/>
          <w:szCs w:val="24"/>
          <w:lang w:val="es-ES"/>
        </w:rPr>
      </w:pPr>
    </w:p>
    <w:p>
      <w:pPr>
        <w:pStyle w:val="style0"/>
        <w:jc w:val="center"/>
        <w:rPr>
          <w:rFonts w:ascii="Arial" w:cs="Arial" w:hAnsi="Arial"/>
          <w:sz w:val="28"/>
          <w:szCs w:val="28"/>
        </w:rPr>
      </w:pPr>
    </w:p>
    <w:p>
      <w:pPr>
        <w:pStyle w:val="style0"/>
        <w:jc w:val="center"/>
        <w:rPr>
          <w:rFonts w:ascii="Arial" w:cs="Arial" w:hAnsi="Arial"/>
          <w:sz w:val="28"/>
          <w:szCs w:val="28"/>
        </w:rPr>
      </w:pPr>
    </w:p>
    <w:p>
      <w:pPr>
        <w:pStyle w:val="style0"/>
        <w:rPr>
          <w:rFonts w:ascii="Arial" w:cs="Arial" w:hAnsi="Arial"/>
          <w:sz w:val="28"/>
          <w:szCs w:val="28"/>
        </w:rPr>
      </w:pPr>
    </w:p>
    <w:p>
      <w:pPr>
        <w:pStyle w:val="style0"/>
        <w:rPr>
          <w:rFonts w:ascii="Arial" w:cs="Arial" w:hAnsi="Arial"/>
          <w:sz w:val="28"/>
          <w:szCs w:val="28"/>
        </w:rPr>
      </w:pPr>
    </w:p>
    <w:p>
      <w:pPr>
        <w:pStyle w:val="style0"/>
        <w:rPr>
          <w:rFonts w:ascii="Arial" w:cs="Arial" w:hAnsi="Arial"/>
          <w:sz w:val="28"/>
          <w:szCs w:val="28"/>
        </w:rPr>
      </w:pPr>
    </w:p>
    <w:p>
      <w:pPr>
        <w:pStyle w:val="style0"/>
        <w:rPr>
          <w:rFonts w:ascii="Arial" w:cs="Arial" w:hAnsi="Arial"/>
          <w:sz w:val="28"/>
          <w:szCs w:val="28"/>
        </w:rPr>
      </w:pPr>
    </w:p>
    <w:p>
      <w:pPr>
        <w:pStyle w:val="style0"/>
        <w:rPr>
          <w:rFonts w:ascii="Arial" w:cs="Arial" w:hAnsi="Arial"/>
          <w:sz w:val="28"/>
          <w:szCs w:val="28"/>
        </w:rPr>
      </w:pPr>
    </w:p>
    <w:p>
      <w:pPr>
        <w:pStyle w:val="style0"/>
        <w:rPr>
          <w:rFonts w:ascii="Arial" w:cs="Arial" w:hAnsi="Arial"/>
          <w:sz w:val="28"/>
          <w:szCs w:val="28"/>
        </w:rPr>
      </w:pPr>
    </w:p>
    <w:p>
      <w:pPr>
        <w:pStyle w:val="style0"/>
        <w:rPr>
          <w:rFonts w:ascii="Arial" w:cs="Arial" w:hAnsi="Arial"/>
          <w:sz w:val="28"/>
          <w:szCs w:val="28"/>
        </w:rPr>
      </w:pPr>
    </w:p>
    <w:p>
      <w:pPr>
        <w:pStyle w:val="style0"/>
        <w:rPr>
          <w:rFonts w:ascii="Arial" w:cs="Arial" w:hAnsi="Arial"/>
          <w:sz w:val="28"/>
          <w:szCs w:val="28"/>
        </w:rPr>
      </w:pPr>
    </w:p>
    <w:p>
      <w:pPr>
        <w:pStyle w:val="style0"/>
        <w:rPr>
          <w:rFonts w:ascii="Arial" w:cs="Arial" w:hAnsi="Arial"/>
          <w:sz w:val="28"/>
          <w:szCs w:val="28"/>
        </w:rPr>
      </w:pPr>
    </w:p>
    <w:p>
      <w:pPr>
        <w:pStyle w:val="style0"/>
        <w:rPr>
          <w:rFonts w:ascii="Arial" w:cs="Arial" w:hAnsi="Arial"/>
          <w:sz w:val="28"/>
          <w:szCs w:val="28"/>
        </w:rPr>
      </w:pPr>
    </w:p>
    <w:p>
      <w:pPr>
        <w:pStyle w:val="style0"/>
        <w:rPr>
          <w:rFonts w:ascii="Arial" w:cs="Arial" w:hAnsi="Arial"/>
          <w:sz w:val="28"/>
          <w:szCs w:val="28"/>
        </w:rPr>
      </w:pPr>
    </w:p>
    <w:p>
      <w:pPr>
        <w:pStyle w:val="style0"/>
        <w:rPr>
          <w:rFonts w:ascii="Arial" w:cs="Arial" w:hAnsi="Arial"/>
          <w:sz w:val="28"/>
          <w:szCs w:val="28"/>
        </w:rPr>
      </w:pPr>
    </w:p>
    <w:p>
      <w:pPr>
        <w:pStyle w:val="style0"/>
        <w:rPr>
          <w:rFonts w:ascii="Arial" w:cs="Arial" w:hAnsi="Arial"/>
          <w:sz w:val="28"/>
          <w:szCs w:val="28"/>
        </w:rPr>
      </w:pPr>
    </w:p>
    <w:p>
      <w:pPr>
        <w:pStyle w:val="style0"/>
        <w:rPr>
          <w:rFonts w:ascii="Arial" w:cs="Arial" w:hAnsi="Arial"/>
          <w:sz w:val="28"/>
          <w:szCs w:val="28"/>
        </w:rPr>
      </w:pPr>
    </w:p>
    <w:p>
      <w:pPr>
        <w:pStyle w:val="style0"/>
        <w:rPr>
          <w:rFonts w:ascii="Arial" w:cs="Arial" w:hAnsi="Arial"/>
          <w:sz w:val="28"/>
          <w:szCs w:val="28"/>
        </w:rPr>
      </w:pPr>
    </w:p>
    <w:p>
      <w:pPr>
        <w:pStyle w:val="style0"/>
        <w:rPr>
          <w:rFonts w:ascii="Arial" w:cs="Arial" w:hAnsi="Arial"/>
          <w:sz w:val="28"/>
          <w:szCs w:val="28"/>
        </w:rPr>
      </w:pPr>
    </w:p>
    <w:p>
      <w:pPr>
        <w:pStyle w:val="style0"/>
        <w:rPr>
          <w:rFonts w:ascii="Arial" w:cs="Arial" w:hAnsi="Arial"/>
          <w:sz w:val="28"/>
          <w:szCs w:val="28"/>
        </w:rPr>
      </w:pPr>
    </w:p>
    <w:p>
      <w:pPr>
        <w:pStyle w:val="style0"/>
        <w:rPr>
          <w:rFonts w:ascii="Arial" w:cs="Arial" w:hAnsi="Arial"/>
          <w:sz w:val="28"/>
          <w:szCs w:val="28"/>
        </w:rPr>
      </w:pPr>
    </w:p>
    <w:p>
      <w:pPr>
        <w:pStyle w:val="style0"/>
        <w:rPr>
          <w:rFonts w:ascii="Arial" w:cs="Arial" w:hAnsi="Arial"/>
          <w:sz w:val="28"/>
          <w:szCs w:val="28"/>
        </w:rPr>
      </w:pPr>
    </w:p>
    <w:p>
      <w:pPr>
        <w:pStyle w:val="style0"/>
        <w:rPr>
          <w:rFonts w:ascii="Arial" w:cs="Arial" w:hAnsi="Arial"/>
          <w:sz w:val="28"/>
          <w:szCs w:val="28"/>
        </w:rPr>
      </w:pPr>
    </w:p>
    <w:p>
      <w:pPr>
        <w:pStyle w:val="style0"/>
        <w:rPr>
          <w:rFonts w:ascii="Arial" w:cs="Arial" w:hAnsi="Arial"/>
          <w:sz w:val="28"/>
          <w:szCs w:val="28"/>
        </w:rPr>
      </w:pPr>
    </w:p>
    <w:p>
      <w:pPr>
        <w:pStyle w:val="style0"/>
        <w:jc w:val="center"/>
        <w:rPr>
          <w:rFonts w:cs="Calibri"/>
          <w:b/>
          <w:bCs/>
          <w:sz w:val="28"/>
          <w:szCs w:val="28"/>
        </w:rPr>
      </w:pPr>
      <w:r>
        <w:rPr>
          <w:rFonts w:cs="Calibri"/>
          <w:b/>
          <w:bCs/>
          <w:sz w:val="28"/>
          <w:szCs w:val="28"/>
        </w:rPr>
        <w:t>Importaciones por Arancel</w:t>
      </w:r>
    </w:p>
    <w:p>
      <w:pPr>
        <w:pStyle w:val="style0"/>
        <w:jc w:val="both"/>
        <w:rPr>
          <w:rFonts w:cs="Calibri"/>
          <w:sz w:val="24"/>
          <w:szCs w:val="24"/>
        </w:rPr>
      </w:pPr>
      <w:r>
        <w:rPr>
          <w:rFonts w:cs="Calibri"/>
          <w:sz w:val="24"/>
          <w:szCs w:val="24"/>
        </w:rPr>
        <w:t xml:space="preserve">En esta Base de datos se encuentra información de productos que se importan a Panamá, categorizados por su arancel, en este caso estaremos analizando el arancel: 3304.30.00.00= </w:t>
      </w:r>
      <w:r>
        <w:rPr>
          <w:rFonts w:cs="Calibri"/>
          <w:sz w:val="24"/>
          <w:szCs w:val="24"/>
        </w:rPr>
        <w:t xml:space="preserve">Maquillaje </w:t>
      </w:r>
      <w:r>
        <w:rPr>
          <w:rFonts w:cs="Calibri"/>
          <w:sz w:val="24"/>
          <w:szCs w:val="24"/>
        </w:rPr>
        <w:t xml:space="preserve"> y </w:t>
      </w:r>
      <w:r>
        <w:rPr>
          <w:rFonts w:cs="Calibri"/>
          <w:sz w:val="24"/>
          <w:szCs w:val="24"/>
        </w:rPr>
        <w:t>preparaciones de manicuras o pedicuras</w:t>
      </w:r>
      <w:r>
        <w:rPr>
          <w:rFonts w:cs="Calibri"/>
          <w:sz w:val="24"/>
          <w:szCs w:val="24"/>
        </w:rPr>
        <w:t>.</w:t>
      </w:r>
    </w:p>
    <w:p>
      <w:pPr>
        <w:pStyle w:val="style0"/>
        <w:jc w:val="both"/>
        <w:rPr>
          <w:rFonts w:cs="Calibri"/>
          <w:sz w:val="24"/>
          <w:szCs w:val="24"/>
        </w:rPr>
      </w:pPr>
      <w:r>
        <w:rPr>
          <w:rFonts w:cs="Calibri"/>
          <w:sz w:val="24"/>
          <w:szCs w:val="24"/>
        </w:rPr>
        <w:t>Se tomo este arancel debido a mi gusto personal por el maquillaje y estetica</w:t>
      </w:r>
    </w:p>
    <w:p>
      <w:pPr>
        <w:pStyle w:val="style0"/>
        <w:jc w:val="both"/>
        <w:rPr>
          <w:rFonts w:cs="Calibri"/>
          <w:b/>
          <w:bCs/>
          <w:sz w:val="24"/>
          <w:szCs w:val="24"/>
        </w:rPr>
      </w:pPr>
    </w:p>
    <w:p>
      <w:pPr>
        <w:pStyle w:val="style0"/>
        <w:jc w:val="both"/>
        <w:rPr>
          <w:rFonts w:cs="Calibri"/>
          <w:b/>
          <w:bCs/>
          <w:sz w:val="24"/>
          <w:szCs w:val="24"/>
        </w:rPr>
      </w:pPr>
      <w:r>
        <w:rPr>
          <w:rFonts w:cs="Calibri"/>
          <w:b/>
          <w:bCs/>
          <w:sz w:val="24"/>
          <w:szCs w:val="24"/>
        </w:rPr>
        <w:t xml:space="preserve">Atributos de la tabla: </w:t>
      </w:r>
    </w:p>
    <w:p>
      <w:pPr>
        <w:pStyle w:val="style179"/>
        <w:numPr>
          <w:ilvl w:val="0"/>
          <w:numId w:val="8"/>
        </w:numPr>
        <w:jc w:val="both"/>
        <w:rPr>
          <w:rFonts w:cs="Calibri"/>
          <w:sz w:val="24"/>
          <w:szCs w:val="24"/>
        </w:rPr>
      </w:pPr>
      <w:r>
        <w:rPr>
          <w:rFonts w:cs="Calibri"/>
          <w:sz w:val="24"/>
          <w:szCs w:val="24"/>
        </w:rPr>
        <w:t>Años</w:t>
      </w:r>
    </w:p>
    <w:p>
      <w:pPr>
        <w:pStyle w:val="style179"/>
        <w:numPr>
          <w:ilvl w:val="0"/>
          <w:numId w:val="8"/>
        </w:numPr>
        <w:jc w:val="both"/>
        <w:rPr>
          <w:rFonts w:cs="Calibri"/>
          <w:sz w:val="24"/>
          <w:szCs w:val="24"/>
        </w:rPr>
      </w:pPr>
      <w:r>
        <w:rPr>
          <w:rFonts w:cs="Calibri"/>
          <w:sz w:val="24"/>
          <w:szCs w:val="24"/>
        </w:rPr>
        <w:t>Mes</w:t>
      </w:r>
    </w:p>
    <w:p>
      <w:pPr>
        <w:pStyle w:val="style179"/>
        <w:numPr>
          <w:ilvl w:val="0"/>
          <w:numId w:val="8"/>
        </w:numPr>
        <w:jc w:val="both"/>
        <w:rPr>
          <w:rFonts w:cs="Calibri"/>
          <w:sz w:val="24"/>
          <w:szCs w:val="24"/>
        </w:rPr>
      </w:pPr>
      <w:r>
        <w:rPr>
          <w:rFonts w:cs="Calibri"/>
          <w:sz w:val="24"/>
          <w:szCs w:val="24"/>
        </w:rPr>
        <w:t>Vía</w:t>
      </w:r>
    </w:p>
    <w:p>
      <w:pPr>
        <w:pStyle w:val="style179"/>
        <w:numPr>
          <w:ilvl w:val="0"/>
          <w:numId w:val="8"/>
        </w:numPr>
        <w:jc w:val="both"/>
        <w:rPr>
          <w:rFonts w:cs="Calibri"/>
          <w:sz w:val="24"/>
          <w:szCs w:val="24"/>
        </w:rPr>
      </w:pPr>
      <w:r>
        <w:rPr>
          <w:rFonts w:cs="Calibri"/>
          <w:sz w:val="24"/>
          <w:szCs w:val="24"/>
        </w:rPr>
        <w:t>Codigopais</w:t>
      </w:r>
    </w:p>
    <w:p>
      <w:pPr>
        <w:pStyle w:val="style179"/>
        <w:numPr>
          <w:ilvl w:val="0"/>
          <w:numId w:val="8"/>
        </w:numPr>
        <w:jc w:val="both"/>
        <w:rPr>
          <w:rFonts w:cs="Calibri"/>
          <w:sz w:val="24"/>
          <w:szCs w:val="24"/>
        </w:rPr>
      </w:pPr>
      <w:r>
        <w:rPr>
          <w:rFonts w:cs="Calibri"/>
          <w:sz w:val="24"/>
          <w:szCs w:val="24"/>
        </w:rPr>
        <w:t>Codigovia</w:t>
      </w:r>
    </w:p>
    <w:p>
      <w:pPr>
        <w:pStyle w:val="style179"/>
        <w:numPr>
          <w:ilvl w:val="0"/>
          <w:numId w:val="8"/>
        </w:numPr>
        <w:jc w:val="both"/>
        <w:rPr>
          <w:rFonts w:cs="Calibri"/>
          <w:sz w:val="24"/>
          <w:szCs w:val="24"/>
        </w:rPr>
      </w:pPr>
      <w:r>
        <w:rPr>
          <w:rFonts w:cs="Calibri"/>
          <w:sz w:val="24"/>
          <w:szCs w:val="24"/>
        </w:rPr>
        <w:t>Inciso Arancelario</w:t>
      </w:r>
    </w:p>
    <w:p>
      <w:pPr>
        <w:pStyle w:val="style179"/>
        <w:numPr>
          <w:ilvl w:val="0"/>
          <w:numId w:val="8"/>
        </w:numPr>
        <w:jc w:val="both"/>
        <w:rPr>
          <w:rFonts w:cs="Calibri"/>
          <w:sz w:val="24"/>
          <w:szCs w:val="24"/>
        </w:rPr>
      </w:pPr>
      <w:r>
        <w:rPr>
          <w:rFonts w:cs="Calibri"/>
          <w:sz w:val="24"/>
          <w:szCs w:val="24"/>
        </w:rPr>
        <w:t>Valor CIF</w:t>
      </w:r>
    </w:p>
    <w:p>
      <w:pPr>
        <w:pStyle w:val="style179"/>
        <w:numPr>
          <w:ilvl w:val="0"/>
          <w:numId w:val="8"/>
        </w:numPr>
        <w:jc w:val="both"/>
        <w:rPr>
          <w:rFonts w:cs="Calibri"/>
          <w:sz w:val="24"/>
          <w:szCs w:val="24"/>
        </w:rPr>
      </w:pPr>
      <w:r>
        <w:rPr>
          <w:rFonts w:cs="Calibri"/>
          <w:sz w:val="24"/>
          <w:szCs w:val="24"/>
        </w:rPr>
        <w:t>Flete</w:t>
      </w:r>
    </w:p>
    <w:p>
      <w:pPr>
        <w:pStyle w:val="style179"/>
        <w:numPr>
          <w:ilvl w:val="0"/>
          <w:numId w:val="8"/>
        </w:numPr>
        <w:jc w:val="both"/>
        <w:rPr>
          <w:rFonts w:cs="Calibri"/>
          <w:sz w:val="24"/>
          <w:szCs w:val="24"/>
        </w:rPr>
      </w:pPr>
      <w:r>
        <w:rPr>
          <w:rFonts w:cs="Calibri"/>
          <w:sz w:val="24"/>
          <w:szCs w:val="24"/>
        </w:rPr>
        <w:t>Impuesto</w:t>
      </w:r>
    </w:p>
    <w:p>
      <w:pPr>
        <w:pStyle w:val="style0"/>
        <w:jc w:val="both"/>
        <w:rPr>
          <w:rFonts w:cs="Calibri"/>
          <w:b/>
          <w:bCs/>
          <w:sz w:val="24"/>
          <w:szCs w:val="24"/>
        </w:rPr>
      </w:pPr>
      <w:r>
        <w:rPr>
          <w:rFonts w:cs="Calibri"/>
          <w:b/>
          <w:bCs/>
          <w:sz w:val="24"/>
          <w:szCs w:val="24"/>
        </w:rPr>
        <w:t>I</w:t>
      </w:r>
      <w:r>
        <w:rPr>
          <w:rFonts w:cs="Calibri"/>
          <w:b/>
          <w:bCs/>
          <w:sz w:val="24"/>
          <w:szCs w:val="24"/>
        </w:rPr>
        <w:t>ncógnitas</w:t>
      </w:r>
    </w:p>
    <w:p>
      <w:pPr>
        <w:pStyle w:val="style179"/>
        <w:numPr>
          <w:ilvl w:val="0"/>
          <w:numId w:val="9"/>
        </w:numPr>
        <w:jc w:val="both"/>
        <w:rPr>
          <w:rFonts w:cs="Calibri"/>
          <w:sz w:val="24"/>
          <w:szCs w:val="24"/>
        </w:rPr>
      </w:pPr>
      <w:r>
        <w:rPr>
          <w:rFonts w:cs="Calibri"/>
          <w:sz w:val="24"/>
          <w:szCs w:val="24"/>
        </w:rPr>
        <w:t>País que más</w:t>
      </w:r>
      <w:r>
        <w:rPr>
          <w:rFonts w:cs="Calibri"/>
          <w:sz w:val="24"/>
          <w:szCs w:val="24"/>
        </w:rPr>
        <w:t xml:space="preserve"> maquillaje de manicura</w:t>
      </w:r>
      <w:r>
        <w:rPr>
          <w:rFonts w:cs="Calibri"/>
          <w:sz w:val="24"/>
          <w:szCs w:val="24"/>
        </w:rPr>
        <w:t xml:space="preserve"> a Panamá</w:t>
      </w:r>
    </w:p>
    <w:p>
      <w:pPr>
        <w:pStyle w:val="style179"/>
        <w:numPr>
          <w:ilvl w:val="0"/>
          <w:numId w:val="9"/>
        </w:numPr>
        <w:jc w:val="both"/>
        <w:rPr>
          <w:rFonts w:cs="Calibri"/>
          <w:sz w:val="24"/>
          <w:szCs w:val="24"/>
        </w:rPr>
      </w:pPr>
      <w:r>
        <w:rPr>
          <w:rFonts w:cs="Calibri"/>
          <w:sz w:val="24"/>
          <w:szCs w:val="24"/>
        </w:rPr>
        <w:t xml:space="preserve">Vía por la que más se </w:t>
      </w:r>
      <w:r>
        <w:rPr>
          <w:rFonts w:cs="Calibri"/>
          <w:sz w:val="24"/>
          <w:szCs w:val="24"/>
        </w:rPr>
        <w:t>importa</w:t>
      </w:r>
      <w:r>
        <w:rPr>
          <w:rFonts w:cs="Calibri"/>
          <w:sz w:val="24"/>
          <w:szCs w:val="24"/>
        </w:rPr>
        <w:t xml:space="preserve"> maquillaje de manicura</w:t>
      </w:r>
      <w:r>
        <w:rPr>
          <w:rFonts w:cs="Calibri"/>
          <w:sz w:val="24"/>
          <w:szCs w:val="24"/>
        </w:rPr>
        <w:t xml:space="preserve"> a Panamá</w:t>
      </w:r>
    </w:p>
    <w:p>
      <w:pPr>
        <w:pStyle w:val="style179"/>
        <w:numPr>
          <w:ilvl w:val="0"/>
          <w:numId w:val="9"/>
        </w:numPr>
        <w:jc w:val="both"/>
        <w:rPr>
          <w:rFonts w:cs="Calibri"/>
          <w:sz w:val="24"/>
          <w:szCs w:val="24"/>
        </w:rPr>
      </w:pPr>
      <w:r>
        <w:rPr>
          <w:rFonts w:cs="Calibri"/>
          <w:sz w:val="24"/>
          <w:szCs w:val="24"/>
        </w:rPr>
        <w:t xml:space="preserve">Meses durante </w:t>
      </w:r>
      <w:r>
        <w:rPr>
          <w:rFonts w:cs="Calibri"/>
          <w:sz w:val="24"/>
          <w:szCs w:val="24"/>
        </w:rPr>
        <w:t xml:space="preserve">los cuales se </w:t>
      </w:r>
      <w:r>
        <w:rPr>
          <w:rFonts w:cs="Calibri"/>
          <w:sz w:val="24"/>
          <w:szCs w:val="24"/>
        </w:rPr>
        <w:t>importa</w:t>
      </w:r>
      <w:r>
        <w:rPr>
          <w:rFonts w:cs="Calibri"/>
          <w:sz w:val="24"/>
          <w:szCs w:val="24"/>
        </w:rPr>
        <w:t xml:space="preserve"> más de este tipo de maquillaje</w:t>
      </w:r>
    </w:p>
    <w:p>
      <w:pPr>
        <w:pStyle w:val="style179"/>
        <w:numPr>
          <w:ilvl w:val="0"/>
          <w:numId w:val="9"/>
        </w:numPr>
        <w:jc w:val="both"/>
        <w:rPr>
          <w:rFonts w:cs="Calibri"/>
          <w:sz w:val="24"/>
          <w:szCs w:val="24"/>
        </w:rPr>
      </w:pPr>
      <w:r>
        <w:rPr>
          <w:rFonts w:cs="Calibri"/>
          <w:sz w:val="24"/>
          <w:szCs w:val="24"/>
        </w:rPr>
        <w:t xml:space="preserve">Promedios de CIF y Peso Neto </w:t>
      </w:r>
    </w:p>
    <w:p>
      <w:pPr>
        <w:pStyle w:val="style179"/>
        <w:numPr>
          <w:ilvl w:val="0"/>
          <w:numId w:val="9"/>
        </w:numPr>
        <w:jc w:val="both"/>
        <w:rPr>
          <w:rFonts w:cs="Calibri"/>
          <w:sz w:val="24"/>
          <w:szCs w:val="24"/>
        </w:rPr>
      </w:pPr>
      <w:r>
        <w:rPr>
          <w:rFonts w:cs="Calibri"/>
          <w:sz w:val="24"/>
          <w:szCs w:val="24"/>
        </w:rPr>
        <w:t>¿Existe una correlación entre CIF y Peso Neto?</w:t>
      </w:r>
    </w:p>
    <w:p>
      <w:pPr>
        <w:pStyle w:val="style0"/>
        <w:jc w:val="both"/>
        <w:rPr>
          <w:rFonts w:ascii="Arial" w:cs="Arial" w:hAnsi="Arial"/>
          <w:sz w:val="24"/>
          <w:szCs w:val="24"/>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179"/>
        <w:numPr>
          <w:ilvl w:val="0"/>
          <w:numId w:val="10"/>
        </w:numPr>
        <w:rPr>
          <w:b/>
          <w:bCs/>
          <w:sz w:val="24"/>
          <w:szCs w:val="24"/>
          <w:lang w:val="es-ES"/>
        </w:rPr>
      </w:pPr>
      <w:r>
        <w:rPr>
          <w:b/>
          <w:bCs/>
          <w:sz w:val="24"/>
          <w:szCs w:val="24"/>
          <w:lang w:val="es-ES"/>
        </w:rPr>
        <w:t>PAÍS QUE MÁS MAQUILLAJE DE MANICURA A PANAMÁ</w:t>
      </w:r>
    </w:p>
    <w:p>
      <w:pPr>
        <w:pStyle w:val="style179"/>
        <w:rPr>
          <w:b/>
          <w:bCs/>
          <w:sz w:val="24"/>
          <w:szCs w:val="24"/>
          <w:lang w:val="es-ES"/>
        </w:rPr>
      </w:pPr>
      <w:r>
        <w:rPr>
          <w:b/>
          <w:bCs/>
          <w:sz w:val="24"/>
          <w:szCs w:val="24"/>
          <w:lang w:val="es-ES"/>
        </w:rPr>
        <w:t>Hipotesis</w:t>
      </w:r>
    </w:p>
    <w:p>
      <w:pPr>
        <w:pStyle w:val="style179"/>
        <w:rPr>
          <w:sz w:val="24"/>
          <w:szCs w:val="24"/>
          <w:lang w:val="es-ES"/>
        </w:rPr>
      </w:pPr>
      <w:r>
        <w:rPr>
          <w:sz w:val="24"/>
          <w:szCs w:val="24"/>
          <w:lang w:val="es-ES"/>
        </w:rPr>
        <w:t xml:space="preserve">Los paises que más </w:t>
      </w:r>
      <w:r>
        <w:rPr>
          <w:sz w:val="24"/>
          <w:szCs w:val="24"/>
          <w:lang w:val="es-ES"/>
        </w:rPr>
        <w:t>exportan</w:t>
      </w:r>
      <w:r>
        <w:rPr>
          <w:sz w:val="24"/>
          <w:szCs w:val="24"/>
          <w:lang w:val="es-ES"/>
        </w:rPr>
        <w:t xml:space="preserve"> maquillaje son China,Francia y Corea, asi que deben ser los que más importen este tipo de producto a Panamá </w:t>
      </w:r>
    </w:p>
    <w:p>
      <w:pPr>
        <w:pStyle w:val="style179"/>
        <w:rPr>
          <w:b/>
          <w:bCs/>
          <w:sz w:val="24"/>
          <w:szCs w:val="24"/>
          <w:lang w:val="es-ES"/>
        </w:rPr>
      </w:pPr>
      <w:r>
        <w:rPr>
          <w:noProof/>
        </w:rPr>
      </w:r>
      <w:r>
        <w:rPr>
          <w:noProof/>
        </w:rPr>
      </w:r>
      <w:r>
        <w:rPr>
          <w:noProof/>
        </w:rPr>
      </w:r>
      <w:r>
        <w:rPr>
          <w:noProof/>
        </w:rPr>
        <w:drawing>
          <wp:inline distL="114300" distT="0" distB="0" distR="114300">
            <wp:extent cx="5612130" cy="2371090"/>
            <wp:effectExtent l="0" t="0" r="0" b="0"/>
            <wp:docPr id="104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r>
    </w:p>
    <w:p>
      <w:pPr>
        <w:pStyle w:val="style179"/>
        <w:rPr>
          <w:b/>
          <w:bCs/>
          <w:sz w:val="24"/>
          <w:szCs w:val="24"/>
          <w:lang w:val="es-ES"/>
        </w:rPr>
      </w:pPr>
    </w:p>
    <w:p>
      <w:pPr>
        <w:pStyle w:val="style0"/>
        <w:rPr>
          <w:b/>
          <w:bCs/>
          <w:sz w:val="24"/>
          <w:szCs w:val="24"/>
          <w:lang w:val="es-ES"/>
        </w:rPr>
      </w:pPr>
      <w:r>
        <w:rPr>
          <w:b/>
          <w:bCs/>
          <w:sz w:val="24"/>
          <w:szCs w:val="24"/>
          <w:lang w:val="es-ES"/>
        </w:rPr>
        <w:tab/>
      </w:r>
      <w:r>
        <w:rPr>
          <w:b/>
          <w:bCs/>
          <w:sz w:val="24"/>
          <w:szCs w:val="24"/>
          <w:lang w:val="es-ES"/>
        </w:rPr>
        <w:t>Conclusión</w:t>
      </w:r>
    </w:p>
    <w:p>
      <w:pPr>
        <w:pStyle w:val="style0"/>
        <w:ind w:left="708"/>
        <w:rPr>
          <w:b/>
          <w:bCs/>
          <w:sz w:val="24"/>
          <w:szCs w:val="24"/>
          <w:lang w:val="es-ES"/>
        </w:rPr>
      </w:pPr>
      <w:r>
        <w:rPr>
          <w:b/>
          <w:bCs/>
          <w:sz w:val="24"/>
          <w:szCs w:val="24"/>
          <w:lang w:val="es-ES"/>
        </w:rPr>
        <w:t xml:space="preserve">Podemos notar que los paises que más </w:t>
      </w:r>
      <w:r>
        <w:rPr>
          <w:b/>
          <w:bCs/>
          <w:sz w:val="24"/>
          <w:szCs w:val="24"/>
          <w:lang w:val="es-ES"/>
        </w:rPr>
        <w:t>im</w:t>
      </w:r>
      <w:r>
        <w:rPr>
          <w:b/>
          <w:bCs/>
          <w:sz w:val="24"/>
          <w:szCs w:val="24"/>
          <w:lang w:val="es-ES"/>
        </w:rPr>
        <w:t>portan son Brasil(105),</w:t>
      </w:r>
      <w:r>
        <w:rPr>
          <w:b/>
          <w:bCs/>
          <w:sz w:val="24"/>
          <w:szCs w:val="24"/>
          <w:lang w:val="es-ES"/>
        </w:rPr>
        <w:t>Guinea(224) y  Nicaragua(311).</w:t>
      </w:r>
    </w:p>
    <w:p>
      <w:pPr>
        <w:pStyle w:val="style0"/>
        <w:ind w:firstLine="708"/>
        <w:rPr>
          <w:b/>
          <w:bCs/>
          <w:sz w:val="24"/>
          <w:szCs w:val="24"/>
          <w:lang w:val="es-ES"/>
        </w:rPr>
      </w:pPr>
      <w:r>
        <w:rPr>
          <w:b/>
          <w:bCs/>
          <w:sz w:val="24"/>
          <w:szCs w:val="24"/>
          <w:lang w:val="es-ES"/>
        </w:rPr>
        <w:t>Siendo el que mayor frecuencia sea Nicaragua, lo cual responde la duda anterior</w:t>
      </w:r>
    </w:p>
    <w:p>
      <w:pPr>
        <w:pStyle w:val="style0"/>
        <w:rPr>
          <w:b/>
          <w:bCs/>
          <w:sz w:val="24"/>
          <w:szCs w:val="24"/>
          <w:lang w:val="es-ES"/>
        </w:rPr>
      </w:pPr>
    </w:p>
    <w:p>
      <w:pPr>
        <w:pStyle w:val="style0"/>
        <w:ind w:firstLine="708"/>
        <w:rPr>
          <w:b/>
          <w:bCs/>
          <w:sz w:val="24"/>
          <w:szCs w:val="24"/>
          <w:lang w:val="es-ES"/>
        </w:rPr>
      </w:pPr>
    </w:p>
    <w:p>
      <w:pPr>
        <w:pStyle w:val="style0"/>
        <w:ind w:firstLine="708"/>
        <w:rPr>
          <w:b/>
          <w:bCs/>
          <w:sz w:val="24"/>
          <w:szCs w:val="24"/>
          <w:lang w:val="es-ES"/>
        </w:rPr>
      </w:pPr>
    </w:p>
    <w:p>
      <w:pPr>
        <w:pStyle w:val="style0"/>
        <w:ind w:firstLine="708"/>
        <w:rPr>
          <w:b/>
          <w:bCs/>
          <w:sz w:val="24"/>
          <w:szCs w:val="24"/>
          <w:lang w:val="es-ES"/>
        </w:rPr>
      </w:pPr>
    </w:p>
    <w:p>
      <w:pPr>
        <w:pStyle w:val="style0"/>
        <w:ind w:firstLine="708"/>
        <w:rPr>
          <w:b/>
          <w:bCs/>
          <w:sz w:val="24"/>
          <w:szCs w:val="24"/>
          <w:lang w:val="es-ES"/>
        </w:rPr>
      </w:pPr>
    </w:p>
    <w:p>
      <w:pPr>
        <w:pStyle w:val="style0"/>
        <w:ind w:firstLine="708"/>
        <w:rPr>
          <w:b/>
          <w:bCs/>
          <w:sz w:val="24"/>
          <w:szCs w:val="24"/>
          <w:lang w:val="es-ES"/>
        </w:rPr>
      </w:pPr>
    </w:p>
    <w:p>
      <w:pPr>
        <w:pStyle w:val="style0"/>
        <w:ind w:firstLine="708"/>
        <w:rPr>
          <w:b/>
          <w:bCs/>
          <w:sz w:val="24"/>
          <w:szCs w:val="24"/>
          <w:lang w:val="es-ES"/>
        </w:rPr>
      </w:pPr>
    </w:p>
    <w:p>
      <w:pPr>
        <w:pStyle w:val="style0"/>
        <w:ind w:firstLine="708"/>
        <w:rPr>
          <w:b/>
          <w:bCs/>
          <w:sz w:val="24"/>
          <w:szCs w:val="24"/>
          <w:lang w:val="es-ES"/>
        </w:rPr>
      </w:pPr>
    </w:p>
    <w:p>
      <w:pPr>
        <w:pStyle w:val="style179"/>
        <w:numPr>
          <w:ilvl w:val="0"/>
          <w:numId w:val="10"/>
        </w:numPr>
        <w:rPr>
          <w:b/>
          <w:bCs/>
          <w:sz w:val="24"/>
          <w:szCs w:val="24"/>
          <w:lang w:val="es-ES"/>
        </w:rPr>
      </w:pPr>
      <w:r>
        <w:rPr>
          <w:b/>
          <w:bCs/>
          <w:sz w:val="24"/>
          <w:szCs w:val="24"/>
          <w:lang w:val="es-ES"/>
        </w:rPr>
        <w:t>VIAS POR LAS QUE MÁS SE IMPORTA MAQUILLAJE DE MANICURA</w:t>
      </w:r>
    </w:p>
    <w:p>
      <w:pPr>
        <w:pStyle w:val="style179"/>
        <w:rPr>
          <w:b/>
          <w:bCs/>
          <w:sz w:val="24"/>
          <w:szCs w:val="24"/>
          <w:lang w:val="es-ES"/>
        </w:rPr>
      </w:pPr>
      <w:r>
        <w:rPr>
          <w:b/>
          <w:bCs/>
          <w:sz w:val="24"/>
          <w:szCs w:val="24"/>
          <w:lang w:val="es-ES"/>
        </w:rPr>
        <w:t>Hipotesis:</w:t>
      </w:r>
    </w:p>
    <w:p>
      <w:pPr>
        <w:pStyle w:val="style179"/>
        <w:rPr>
          <w:sz w:val="24"/>
          <w:szCs w:val="24"/>
          <w:lang w:val="es-ES"/>
        </w:rPr>
      </w:pPr>
      <w:r>
        <w:rPr>
          <w:sz w:val="24"/>
          <w:szCs w:val="24"/>
          <w:lang w:val="es-ES"/>
        </w:rPr>
        <w:t>Como los paises en que más se exportan son de LATAM entonces las importaciones deben ser más por vía terrestre</w:t>
      </w:r>
    </w:p>
    <w:p>
      <w:pPr>
        <w:pStyle w:val="style179"/>
        <w:rPr>
          <w:sz w:val="24"/>
          <w:szCs w:val="24"/>
          <w:lang w:val="es-ES"/>
        </w:rPr>
      </w:pPr>
    </w:p>
    <w:tbl>
      <w:tblPr>
        <w:tblW w:w="9140" w:type="dxa"/>
        <w:tblCellMar>
          <w:left w:w="70" w:type="dxa"/>
          <w:right w:w="70" w:type="dxa"/>
        </w:tblCellMar>
        <w:tblLook w:val="04A0" w:firstRow="1" w:lastRow="0" w:firstColumn="1" w:lastColumn="0" w:noHBand="0" w:noVBand="1"/>
      </w:tblPr>
      <w:tblGrid>
        <w:gridCol w:w="1058"/>
        <w:gridCol w:w="1306"/>
        <w:gridCol w:w="1429"/>
        <w:gridCol w:w="1429"/>
        <w:gridCol w:w="1306"/>
        <w:gridCol w:w="1306"/>
        <w:gridCol w:w="1306"/>
      </w:tblGrid>
      <w:tr>
        <w:trPr>
          <w:trHeight w:val="288" w:hRule="atLeast"/>
        </w:trPr>
        <w:tc>
          <w:tcPr>
            <w:tcW w:w="1580" w:type="dxa"/>
            <w:tcBorders>
              <w:top w:val="nil"/>
              <w:left w:val="nil"/>
              <w:bottom w:val="nil"/>
              <w:right w:val="nil"/>
            </w:tcBorders>
            <w:shd w:val="clear" w:color="auto" w:fill="auto"/>
            <w:noWrap/>
            <w:vAlign w:val="bottom"/>
            <w:hideMark/>
          </w:tcPr>
          <w:p>
            <w:pPr>
              <w:pStyle w:val="style0"/>
              <w:spacing w:after="0" w:lineRule="auto" w:line="240"/>
              <w:rPr>
                <w:rFonts w:ascii="Times New Roman" w:cs="Times New Roman" w:eastAsia="Times New Roman" w:hAnsi="Times New Roman"/>
                <w:kern w:val="0"/>
                <w:sz w:val="24"/>
                <w:szCs w:val="24"/>
                <w:lang w:eastAsia="es-PA"/>
                <w14:ligatures xmlns:w14="http://schemas.microsoft.com/office/word/2010/wordml" w14:val="none"/>
              </w:rPr>
            </w:pPr>
          </w:p>
        </w:tc>
        <w:tc>
          <w:tcPr>
            <w:tcW w:w="254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pPr>
              <w:pStyle w:val="style0"/>
              <w:spacing w:after="0" w:lineRule="auto" w:line="240"/>
              <w:jc w:val="center"/>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Aereo</w:t>
            </w:r>
          </w:p>
        </w:tc>
        <w:tc>
          <w:tcPr>
            <w:tcW w:w="2540" w:type="dxa"/>
            <w:gridSpan w:val="2"/>
            <w:tcBorders>
              <w:top w:val="single" w:sz="4" w:space="0" w:color="auto"/>
              <w:left w:val="nil"/>
              <w:bottom w:val="single" w:sz="4" w:space="0" w:color="auto"/>
              <w:right w:val="single" w:sz="4" w:space="0" w:color="000000"/>
            </w:tcBorders>
            <w:shd w:val="clear" w:color="auto" w:fill="auto"/>
            <w:noWrap/>
            <w:vAlign w:val="bottom"/>
            <w:hideMark/>
          </w:tcPr>
          <w:p>
            <w:pPr>
              <w:pStyle w:val="style0"/>
              <w:spacing w:after="0" w:lineRule="auto" w:line="240"/>
              <w:jc w:val="center"/>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Maritima</w:t>
            </w:r>
          </w:p>
        </w:tc>
        <w:tc>
          <w:tcPr>
            <w:tcW w:w="2480" w:type="dxa"/>
            <w:gridSpan w:val="2"/>
            <w:tcBorders>
              <w:top w:val="single" w:sz="4" w:space="0" w:color="auto"/>
              <w:left w:val="nil"/>
              <w:bottom w:val="single" w:sz="4" w:space="0" w:color="auto"/>
              <w:right w:val="single" w:sz="4" w:space="0" w:color="000000"/>
            </w:tcBorders>
            <w:shd w:val="clear" w:color="auto" w:fill="auto"/>
            <w:noWrap/>
            <w:vAlign w:val="bottom"/>
            <w:hideMark/>
          </w:tcPr>
          <w:p>
            <w:pPr>
              <w:pStyle w:val="style0"/>
              <w:spacing w:after="0" w:lineRule="auto" w:line="240"/>
              <w:jc w:val="center"/>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Terrestre</w:t>
            </w:r>
          </w:p>
        </w:tc>
      </w:tr>
      <w:tr>
        <w:tblPrEx/>
        <w:trPr>
          <w:trHeight w:val="288" w:hRule="atLeast"/>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 </w:t>
            </w:r>
          </w:p>
        </w:tc>
        <w:tc>
          <w:tcPr>
            <w:tcW w:w="1208"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CIF</w:t>
            </w:r>
          </w:p>
        </w:tc>
        <w:tc>
          <w:tcPr>
            <w:tcW w:w="1332"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Peso Neto</w:t>
            </w:r>
          </w:p>
        </w:tc>
        <w:tc>
          <w:tcPr>
            <w:tcW w:w="1332"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CIF</w:t>
            </w:r>
          </w:p>
        </w:tc>
        <w:tc>
          <w:tcPr>
            <w:tcW w:w="1208"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Peso Neto</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CIF</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Peso Neto</w:t>
            </w:r>
          </w:p>
        </w:tc>
      </w:tr>
      <w:tr>
        <w:tblPrEx/>
        <w:trPr>
          <w:trHeight w:val="288" w:hRule="atLeast"/>
        </w:trPr>
        <w:tc>
          <w:tcPr>
            <w:tcW w:w="1580" w:type="dxa"/>
            <w:tcBorders>
              <w:top w:val="nil"/>
              <w:left w:val="single" w:sz="4" w:space="0" w:color="auto"/>
              <w:bottom w:val="single" w:sz="4" w:space="0" w:color="auto"/>
              <w:right w:val="nil"/>
            </w:tcBorders>
            <w:shd w:val="clear" w:color="auto" w:fill="auto"/>
            <w:noWrap/>
            <w:vAlign w:val="bottom"/>
            <w:hideMark/>
          </w:tcPr>
          <w:p>
            <w:pPr>
              <w:pStyle w:val="style0"/>
              <w:spacing w:after="0" w:lineRule="auto" w:line="240"/>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Media</w:t>
            </w:r>
          </w:p>
        </w:tc>
        <w:tc>
          <w:tcPr>
            <w:tcW w:w="120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pPr>
              <w:pStyle w:val="style0"/>
              <w:spacing w:after="0" w:lineRule="auto" w:line="240"/>
              <w:jc w:val="right"/>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6056.01111</w:t>
            </w:r>
          </w:p>
        </w:tc>
        <w:tc>
          <w:tcPr>
            <w:tcW w:w="1332"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132.5222222</w:t>
            </w:r>
          </w:p>
        </w:tc>
        <w:tc>
          <w:tcPr>
            <w:tcW w:w="1332" w:type="dxa"/>
            <w:tcBorders>
              <w:top w:val="single" w:sz="4" w:space="0" w:color="auto"/>
              <w:left w:val="nil"/>
              <w:bottom w:val="single" w:sz="4" w:space="0" w:color="auto"/>
              <w:right w:val="single" w:sz="4" w:space="0" w:color="auto"/>
            </w:tcBorders>
            <w:shd w:val="clear" w:color="000000" w:fill="ffff00"/>
            <w:noWrap/>
            <w:vAlign w:val="bottom"/>
            <w:hideMark/>
          </w:tcPr>
          <w:p>
            <w:pPr>
              <w:pStyle w:val="style0"/>
              <w:spacing w:after="0" w:lineRule="auto" w:line="240"/>
              <w:jc w:val="right"/>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73282.22735</w:t>
            </w:r>
          </w:p>
        </w:tc>
        <w:tc>
          <w:tcPr>
            <w:tcW w:w="1208"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596.612994</w:t>
            </w:r>
          </w:p>
        </w:tc>
        <w:tc>
          <w:tcPr>
            <w:tcW w:w="1240" w:type="dxa"/>
            <w:tcBorders>
              <w:top w:val="single" w:sz="4" w:space="0" w:color="auto"/>
              <w:left w:val="nil"/>
              <w:bottom w:val="single" w:sz="4" w:space="0" w:color="auto"/>
              <w:right w:val="single" w:sz="4" w:space="0" w:color="auto"/>
            </w:tcBorders>
            <w:shd w:val="clear" w:color="000000" w:fill="ffff00"/>
            <w:noWrap/>
            <w:vAlign w:val="bottom"/>
            <w:hideMark/>
          </w:tcPr>
          <w:p>
            <w:pPr>
              <w:pStyle w:val="style0"/>
              <w:spacing w:after="0" w:lineRule="auto" w:line="240"/>
              <w:jc w:val="right"/>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9269.55556</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634.222222</w:t>
            </w:r>
          </w:p>
        </w:tc>
      </w:tr>
      <w:tr>
        <w:tblPrEx/>
        <w:trPr>
          <w:trHeight w:val="288" w:hRule="atLeast"/>
        </w:trPr>
        <w:tc>
          <w:tcPr>
            <w:tcW w:w="1580" w:type="dxa"/>
            <w:tcBorders>
              <w:top w:val="nil"/>
              <w:left w:val="single" w:sz="4" w:space="0" w:color="auto"/>
              <w:bottom w:val="single" w:sz="4" w:space="0" w:color="auto"/>
              <w:right w:val="nil"/>
            </w:tcBorders>
            <w:shd w:val="clear" w:color="auto" w:fill="auto"/>
            <w:noWrap/>
            <w:vAlign w:val="bottom"/>
            <w:hideMark/>
          </w:tcPr>
          <w:p>
            <w:pPr>
              <w:pStyle w:val="style0"/>
              <w:spacing w:after="0" w:lineRule="auto" w:line="240"/>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Desv Estandar</w:t>
            </w:r>
          </w:p>
        </w:tc>
        <w:tc>
          <w:tcPr>
            <w:tcW w:w="1208" w:type="dxa"/>
            <w:tcBorders>
              <w:top w:val="nil"/>
              <w:left w:val="single" w:sz="4" w:space="0" w:color="auto"/>
              <w:bottom w:val="single" w:sz="4" w:space="0" w:color="auto"/>
              <w:right w:val="single" w:sz="4" w:space="0" w:color="auto"/>
            </w:tcBorders>
            <w:shd w:val="clear" w:color="000000" w:fill="ffff00"/>
            <w:noWrap/>
            <w:vAlign w:val="bottom"/>
            <w:hideMark/>
          </w:tcPr>
          <w:p>
            <w:pPr>
              <w:pStyle w:val="style0"/>
              <w:spacing w:after="0" w:lineRule="auto" w:line="240"/>
              <w:jc w:val="right"/>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5335.03148</w:t>
            </w:r>
          </w:p>
        </w:tc>
        <w:tc>
          <w:tcPr>
            <w:tcW w:w="1332"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95.68478384</w:t>
            </w:r>
          </w:p>
        </w:tc>
        <w:tc>
          <w:tcPr>
            <w:tcW w:w="1332" w:type="dxa"/>
            <w:tcBorders>
              <w:top w:val="nil"/>
              <w:left w:val="nil"/>
              <w:bottom w:val="single" w:sz="4" w:space="0" w:color="auto"/>
              <w:right w:val="single" w:sz="4" w:space="0" w:color="auto"/>
            </w:tcBorders>
            <w:shd w:val="clear" w:color="000000" w:fill="ffff00"/>
            <w:noWrap/>
            <w:vAlign w:val="bottom"/>
            <w:hideMark/>
          </w:tcPr>
          <w:p>
            <w:pPr>
              <w:pStyle w:val="style0"/>
              <w:spacing w:after="0" w:lineRule="auto" w:line="240"/>
              <w:jc w:val="right"/>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21537.75939</w:t>
            </w:r>
          </w:p>
        </w:tc>
        <w:tc>
          <w:tcPr>
            <w:tcW w:w="1208"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1488.84896</w:t>
            </w:r>
          </w:p>
        </w:tc>
        <w:tc>
          <w:tcPr>
            <w:tcW w:w="1240" w:type="dxa"/>
            <w:tcBorders>
              <w:top w:val="nil"/>
              <w:left w:val="nil"/>
              <w:bottom w:val="single" w:sz="4" w:space="0" w:color="auto"/>
              <w:right w:val="single" w:sz="4" w:space="0" w:color="auto"/>
            </w:tcBorders>
            <w:shd w:val="clear" w:color="000000" w:fill="ffff00"/>
            <w:noWrap/>
            <w:vAlign w:val="bottom"/>
            <w:hideMark/>
          </w:tcPr>
          <w:p>
            <w:pPr>
              <w:pStyle w:val="style0"/>
              <w:spacing w:after="0" w:lineRule="auto" w:line="240"/>
              <w:jc w:val="right"/>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6998.75272</w:t>
            </w:r>
          </w:p>
        </w:tc>
        <w:tc>
          <w:tcPr>
            <w:tcW w:w="124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446.507606</w:t>
            </w:r>
          </w:p>
        </w:tc>
      </w:tr>
      <w:tr>
        <w:tblPrEx/>
        <w:trPr>
          <w:trHeight w:val="288" w:hRule="atLeast"/>
        </w:trPr>
        <w:tc>
          <w:tcPr>
            <w:tcW w:w="1580" w:type="dxa"/>
            <w:tcBorders>
              <w:top w:val="single" w:sz="4" w:space="0" w:color="auto"/>
              <w:left w:val="single" w:sz="4" w:space="0" w:color="auto"/>
              <w:bottom w:val="single" w:sz="4" w:space="0" w:color="auto"/>
              <w:right w:val="nil"/>
            </w:tcBorders>
            <w:shd w:val="clear" w:color="auto" w:fill="auto"/>
            <w:noWrap/>
            <w:vAlign w:val="bottom"/>
            <w:hideMark/>
          </w:tcPr>
          <w:p>
            <w:pPr>
              <w:pStyle w:val="style0"/>
              <w:spacing w:after="0" w:lineRule="auto" w:line="240"/>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Varianza</w:t>
            </w:r>
          </w:p>
        </w:tc>
        <w:tc>
          <w:tcPr>
            <w:tcW w:w="1208" w:type="dxa"/>
            <w:tcBorders>
              <w:top w:val="nil"/>
              <w:left w:val="single" w:sz="4" w:space="0" w:color="auto"/>
              <w:bottom w:val="single" w:sz="4" w:space="0" w:color="auto"/>
              <w:right w:val="single" w:sz="4" w:space="0" w:color="auto"/>
            </w:tcBorders>
            <w:shd w:val="clear" w:color="000000" w:fill="ffff00"/>
            <w:noWrap/>
            <w:vAlign w:val="bottom"/>
            <w:hideMark/>
          </w:tcPr>
          <w:p>
            <w:pPr>
              <w:pStyle w:val="style0"/>
              <w:spacing w:after="0" w:lineRule="auto" w:line="240"/>
              <w:jc w:val="right"/>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28409260.2</w:t>
            </w:r>
          </w:p>
        </w:tc>
        <w:tc>
          <w:tcPr>
            <w:tcW w:w="1332"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175279.5357</w:t>
            </w:r>
          </w:p>
        </w:tc>
        <w:tc>
          <w:tcPr>
            <w:tcW w:w="1332" w:type="dxa"/>
            <w:tcBorders>
              <w:top w:val="nil"/>
              <w:left w:val="nil"/>
              <w:bottom w:val="single" w:sz="4" w:space="0" w:color="auto"/>
              <w:right w:val="single" w:sz="4" w:space="0" w:color="auto"/>
            </w:tcBorders>
            <w:shd w:val="clear" w:color="000000" w:fill="ffff00"/>
            <w:noWrap/>
            <w:vAlign w:val="bottom"/>
            <w:hideMark/>
          </w:tcPr>
          <w:p>
            <w:pPr>
              <w:pStyle w:val="style0"/>
              <w:spacing w:after="0" w:lineRule="auto" w:line="240"/>
              <w:jc w:val="right"/>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463006399.8</w:t>
            </w:r>
          </w:p>
        </w:tc>
        <w:tc>
          <w:tcPr>
            <w:tcW w:w="1208"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116204217</w:t>
            </w:r>
          </w:p>
        </w:tc>
        <w:tc>
          <w:tcPr>
            <w:tcW w:w="1240" w:type="dxa"/>
            <w:tcBorders>
              <w:top w:val="nil"/>
              <w:left w:val="nil"/>
              <w:bottom w:val="single" w:sz="4" w:space="0" w:color="auto"/>
              <w:right w:val="single" w:sz="4" w:space="0" w:color="auto"/>
            </w:tcBorders>
            <w:shd w:val="clear" w:color="000000" w:fill="ffff00"/>
            <w:noWrap/>
            <w:vAlign w:val="bottom"/>
            <w:hideMark/>
          </w:tcPr>
          <w:p>
            <w:pPr>
              <w:pStyle w:val="style0"/>
              <w:spacing w:after="0" w:lineRule="auto" w:line="240"/>
              <w:jc w:val="right"/>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48890812.1</w:t>
            </w:r>
          </w:p>
        </w:tc>
        <w:tc>
          <w:tcPr>
            <w:tcW w:w="124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73553583.7</w:t>
            </w:r>
          </w:p>
        </w:tc>
      </w:tr>
    </w:tbl>
    <w:p>
      <w:pPr>
        <w:pStyle w:val="style179"/>
        <w:rPr>
          <w:sz w:val="24"/>
          <w:szCs w:val="24"/>
          <w:lang w:val="es-ES"/>
        </w:rPr>
      </w:pPr>
    </w:p>
    <w:p>
      <w:pPr>
        <w:pStyle w:val="style179"/>
        <w:rPr>
          <w:b/>
          <w:bCs/>
          <w:sz w:val="24"/>
          <w:szCs w:val="24"/>
          <w:lang w:val="es-ES"/>
        </w:rPr>
      </w:pPr>
      <w:r>
        <w:rPr>
          <w:noProof/>
        </w:rPr>
      </w:r>
      <w:r>
        <w:rPr>
          <w:noProof/>
        </w:rPr>
      </w:r>
      <w:r>
        <w:rPr>
          <w:noProof/>
        </w:rPr>
      </w:r>
      <w:r>
        <w:rPr>
          <w:noProof/>
        </w:rPr>
        <w:drawing>
          <wp:inline distL="114300" distT="0" distB="0" distR="114300">
            <wp:extent cx="4572000" cy="2743200"/>
            <wp:effectExtent l="0" t="0" r="0" b="0"/>
            <wp:docPr id="104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r>
        <w:rPr>
          <w:b/>
          <w:bCs/>
          <w:sz w:val="24"/>
          <w:szCs w:val="24"/>
          <w:lang w:val="es-ES"/>
        </w:rPr>
        <w:t>Conclusión: La vía por la que más se importa es la maritima demostrando que la hipotesis anterior era errada</w:t>
      </w:r>
    </w:p>
    <w:p>
      <w:pPr>
        <w:pStyle w:val="style0"/>
        <w:rPr>
          <w:b/>
          <w:bCs/>
          <w:sz w:val="24"/>
          <w:szCs w:val="24"/>
          <w:lang w:val="es-ES"/>
        </w:rPr>
      </w:pPr>
    </w:p>
    <w:p>
      <w:pPr>
        <w:pStyle w:val="style179"/>
        <w:numPr>
          <w:ilvl w:val="0"/>
          <w:numId w:val="10"/>
        </w:numPr>
        <w:rPr>
          <w:b/>
          <w:bCs/>
          <w:sz w:val="24"/>
          <w:szCs w:val="24"/>
          <w:lang w:val="es-ES"/>
        </w:rPr>
      </w:pPr>
      <w:r>
        <w:rPr>
          <w:b/>
          <w:bCs/>
          <w:sz w:val="24"/>
          <w:szCs w:val="24"/>
          <w:lang w:val="es-ES"/>
        </w:rPr>
        <w:t>MESES EN LOS CUALES SE IMPORTA MÁS MAQUILLAJE</w:t>
      </w:r>
    </w:p>
    <w:p>
      <w:pPr>
        <w:pStyle w:val="style179"/>
        <w:rPr>
          <w:sz w:val="24"/>
          <w:szCs w:val="24"/>
          <w:lang w:val="es-ES"/>
        </w:rPr>
      </w:pPr>
      <w:r>
        <w:rPr>
          <w:b/>
          <w:bCs/>
          <w:sz w:val="24"/>
          <w:szCs w:val="24"/>
          <w:lang w:val="es-ES"/>
        </w:rPr>
        <w:t xml:space="preserve">Hipotesis: </w:t>
      </w:r>
      <w:r>
        <w:rPr>
          <w:sz w:val="24"/>
          <w:szCs w:val="24"/>
          <w:lang w:val="es-ES"/>
        </w:rPr>
        <w:t>Los meses en los que más se deberia importar maquillaje seria en Enero (por fiestas de año nuevo) y en Diciembre (Fiestas de navidad)</w:t>
      </w:r>
    </w:p>
    <w:p>
      <w:pPr>
        <w:pStyle w:val="style179"/>
        <w:rPr>
          <w:b/>
          <w:bCs/>
          <w:sz w:val="24"/>
          <w:szCs w:val="24"/>
          <w:lang w:val="es-ES"/>
        </w:rPr>
      </w:pPr>
      <w:r>
        <w:rPr>
          <w:noProof/>
        </w:rPr>
      </w:r>
      <w:r>
        <w:rPr>
          <w:noProof/>
        </w:rPr>
      </w:r>
      <w:r>
        <w:rPr>
          <w:noProof/>
        </w:rPr>
      </w:r>
      <w:r>
        <w:rPr>
          <w:noProof/>
        </w:rPr>
        <w:drawing>
          <wp:inline distL="114300" distT="0" distB="0" distR="114300">
            <wp:extent cx="4572000" cy="2743200"/>
            <wp:effectExtent l="0" t="0" r="0" b="0"/>
            <wp:docPr id="105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r>
    </w:p>
    <w:p>
      <w:pPr>
        <w:pStyle w:val="style179"/>
        <w:rPr>
          <w:b/>
          <w:bCs/>
          <w:sz w:val="24"/>
          <w:szCs w:val="24"/>
          <w:lang w:val="es-ES"/>
        </w:rPr>
      </w:pPr>
      <w:r>
        <w:rPr>
          <w:noProof/>
        </w:rPr>
      </w:r>
      <w:r>
        <w:rPr>
          <w:noProof/>
        </w:rPr>
      </w:r>
      <w:r>
        <w:rPr>
          <w:noProof/>
        </w:rPr>
      </w:r>
      <w:r>
        <w:rPr>
          <w:noProof/>
        </w:rPr>
        <w:drawing>
          <wp:inline distL="114300" distT="0" distB="0" distR="114300">
            <wp:extent cx="4572000" cy="2743200"/>
            <wp:effectExtent l="0" t="0" r="0" b="0"/>
            <wp:docPr id="105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r>
    </w:p>
    <w:p>
      <w:pPr>
        <w:pStyle w:val="style179"/>
        <w:rPr>
          <w:b/>
          <w:bCs/>
          <w:sz w:val="24"/>
          <w:szCs w:val="24"/>
          <w:lang w:val="es-ES"/>
        </w:rPr>
      </w:pPr>
      <w:r>
        <w:rPr>
          <w:noProof/>
        </w:rPr>
      </w:r>
      <w:r>
        <w:rPr>
          <w:noProof/>
        </w:rPr>
      </w:r>
      <w:r>
        <w:rPr>
          <w:noProof/>
        </w:rPr>
      </w:r>
      <w:r>
        <w:rPr>
          <w:noProof/>
        </w:rPr>
        <w:drawing>
          <wp:inline distL="114300" distT="0" distB="0" distR="114300">
            <wp:extent cx="4572000" cy="2743200"/>
            <wp:effectExtent l="0" t="0" r="0" b="0"/>
            <wp:docPr id="105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r>
    </w:p>
    <w:p>
      <w:pPr>
        <w:pStyle w:val="style179"/>
        <w:rPr>
          <w:b/>
          <w:bCs/>
          <w:sz w:val="24"/>
          <w:szCs w:val="24"/>
          <w:lang w:val="es-ES"/>
        </w:rPr>
      </w:pPr>
    </w:p>
    <w:p>
      <w:pPr>
        <w:pStyle w:val="style179"/>
        <w:rPr>
          <w:b/>
          <w:bCs/>
          <w:sz w:val="24"/>
          <w:szCs w:val="24"/>
          <w:lang w:val="es-ES"/>
        </w:rPr>
      </w:pPr>
      <w:r>
        <w:rPr>
          <w:b/>
          <w:bCs/>
          <w:sz w:val="24"/>
          <w:szCs w:val="24"/>
          <w:lang w:val="es-ES"/>
        </w:rPr>
        <w:t>Conclusión: Existe mayor tendencia en la importación de manicura en los meses de Agosto, Octubre y Febrero</w:t>
      </w:r>
    </w:p>
    <w:p>
      <w:pPr>
        <w:pStyle w:val="style0"/>
        <w:rPr>
          <w:b/>
          <w:bCs/>
          <w:sz w:val="24"/>
          <w:szCs w:val="24"/>
          <w:lang w:val="es-ES"/>
        </w:rPr>
      </w:pPr>
    </w:p>
    <w:p>
      <w:pPr>
        <w:pStyle w:val="style179"/>
        <w:numPr>
          <w:ilvl w:val="0"/>
          <w:numId w:val="10"/>
        </w:numPr>
        <w:rPr>
          <w:b/>
          <w:bCs/>
          <w:sz w:val="24"/>
          <w:szCs w:val="24"/>
          <w:lang w:val="es-ES"/>
        </w:rPr>
      </w:pPr>
      <w:r>
        <w:rPr>
          <w:b/>
          <w:bCs/>
          <w:sz w:val="24"/>
          <w:szCs w:val="24"/>
          <w:lang w:val="es-ES"/>
        </w:rPr>
        <w:t>PROMEDIO DE CIF Y PESO MEDIO</w:t>
      </w:r>
    </w:p>
    <w:p>
      <w:pPr>
        <w:pStyle w:val="style179"/>
        <w:rPr>
          <w:b/>
          <w:bCs/>
          <w:sz w:val="24"/>
          <w:szCs w:val="24"/>
          <w:lang w:val="es-ES"/>
        </w:rPr>
      </w:pPr>
      <w:r>
        <w:rPr>
          <w:noProof/>
        </w:rPr>
      </w:r>
      <w:r>
        <w:rPr>
          <w:noProof/>
        </w:rPr>
      </w:r>
      <w:r>
        <w:rPr>
          <w:noProof/>
        </w:rPr>
      </w:r>
      <w:r>
        <w:rPr>
          <w:noProof/>
        </w:rPr>
        <w:drawing>
          <wp:inline distL="114300" distT="0" distB="0" distR="114300">
            <wp:extent cx="4572000" cy="2743200"/>
            <wp:effectExtent l="0" t="0" r="0" b="0"/>
            <wp:docPr id="105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r>
    </w:p>
    <w:p>
      <w:pPr>
        <w:pStyle w:val="style179"/>
        <w:rPr>
          <w:b/>
          <w:bCs/>
          <w:sz w:val="24"/>
          <w:szCs w:val="24"/>
          <w:lang w:val="es-ES"/>
        </w:rPr>
      </w:pPr>
      <w:r>
        <w:rPr>
          <w:noProof/>
        </w:rPr>
      </w:r>
      <w:r>
        <w:rPr>
          <w:noProof/>
        </w:rPr>
      </w:r>
      <w:r>
        <w:rPr>
          <w:noProof/>
        </w:rPr>
      </w:r>
      <w:r>
        <w:rPr>
          <w:noProof/>
        </w:rPr>
        <w:drawing>
          <wp:inline distL="114300" distT="0" distB="0" distR="114300">
            <wp:extent cx="4572000" cy="2743200"/>
            <wp:effectExtent l="0" t="0" r="0" b="0"/>
            <wp:docPr id="105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r>
    </w:p>
    <w:p>
      <w:pPr>
        <w:pStyle w:val="style179"/>
        <w:rPr>
          <w:b/>
          <w:bCs/>
          <w:sz w:val="24"/>
          <w:szCs w:val="24"/>
          <w:lang w:val="es-ES"/>
        </w:rPr>
      </w:pPr>
    </w:p>
    <w:tbl>
      <w:tblPr>
        <w:tblW w:w="3620" w:type="dxa"/>
        <w:tblCellMar>
          <w:left w:w="70" w:type="dxa"/>
          <w:right w:w="70" w:type="dxa"/>
        </w:tblCellMar>
        <w:tblLook w:val="04A0" w:firstRow="1" w:lastRow="0" w:firstColumn="1" w:lastColumn="0" w:noHBand="0" w:noVBand="1"/>
      </w:tblPr>
      <w:tblGrid>
        <w:gridCol w:w="1760"/>
        <w:gridCol w:w="1860"/>
      </w:tblGrid>
      <w:tr>
        <w:trPr>
          <w:trHeight w:val="288" w:hRule="atLeast"/>
        </w:trPr>
        <w:tc>
          <w:tcPr>
            <w:tcW w:w="176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 </w:t>
            </w:r>
          </w:p>
        </w:tc>
        <w:tc>
          <w:tcPr>
            <w:tcW w:w="1860" w:type="dxa"/>
            <w:tcBorders>
              <w:top w:val="single" w:sz="4" w:space="0" w:color="auto"/>
              <w:left w:val="nil"/>
              <w:bottom w:val="single" w:sz="4" w:space="0" w:color="auto"/>
              <w:right w:val="single" w:sz="4" w:space="0" w:color="auto"/>
            </w:tcBorders>
            <w:shd w:val="clear" w:color="000000" w:fill="b4c6e7"/>
            <w:noWrap/>
            <w:vAlign w:val="bottom"/>
            <w:hideMark/>
          </w:tcPr>
          <w:p>
            <w:pPr>
              <w:pStyle w:val="style0"/>
              <w:spacing w:after="0" w:lineRule="auto" w:line="240"/>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CIF/Peso Neto</w:t>
            </w:r>
          </w:p>
        </w:tc>
      </w:tr>
      <w:tr>
        <w:tblPrEx/>
        <w:trPr>
          <w:trHeight w:val="288" w:hRule="atLeast"/>
        </w:trPr>
        <w:tc>
          <w:tcPr>
            <w:tcW w:w="1760" w:type="dxa"/>
            <w:tcBorders>
              <w:top w:val="nil"/>
              <w:left w:val="single" w:sz="4" w:space="0" w:color="auto"/>
              <w:bottom w:val="single" w:sz="4" w:space="0" w:color="auto"/>
              <w:right w:val="single" w:sz="4" w:space="0" w:color="auto"/>
            </w:tcBorders>
            <w:shd w:val="clear" w:color="000000" w:fill="b4c6e7"/>
            <w:noWrap/>
            <w:vAlign w:val="bottom"/>
            <w:hideMark/>
          </w:tcPr>
          <w:p>
            <w:pPr>
              <w:pStyle w:val="style0"/>
              <w:spacing w:after="0" w:lineRule="auto" w:line="240"/>
              <w:jc w:val="right"/>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2017</w:t>
            </w:r>
          </w:p>
        </w:tc>
        <w:tc>
          <w:tcPr>
            <w:tcW w:w="1860" w:type="dxa"/>
            <w:tcBorders>
              <w:top w:val="nil"/>
              <w:left w:val="nil"/>
              <w:bottom w:val="single" w:sz="4" w:space="0" w:color="auto"/>
              <w:right w:val="single" w:sz="4" w:space="0" w:color="auto"/>
            </w:tcBorders>
            <w:shd w:val="clear" w:color="000000" w:fill="d9e1f2"/>
            <w:noWrap/>
            <w:vAlign w:val="bottom"/>
            <w:hideMark/>
          </w:tcPr>
          <w:p>
            <w:pPr>
              <w:pStyle w:val="style0"/>
              <w:spacing w:after="0" w:lineRule="auto" w:line="240"/>
              <w:jc w:val="right"/>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8.135561793</w:t>
            </w:r>
          </w:p>
        </w:tc>
      </w:tr>
      <w:tr>
        <w:tblPrEx/>
        <w:trPr>
          <w:trHeight w:val="288" w:hRule="atLeast"/>
        </w:trPr>
        <w:tc>
          <w:tcPr>
            <w:tcW w:w="1760" w:type="dxa"/>
            <w:tcBorders>
              <w:top w:val="nil"/>
              <w:left w:val="single" w:sz="4" w:space="0" w:color="auto"/>
              <w:bottom w:val="single" w:sz="4" w:space="0" w:color="auto"/>
              <w:right w:val="single" w:sz="4" w:space="0" w:color="auto"/>
            </w:tcBorders>
            <w:shd w:val="clear" w:color="000000" w:fill="b4c6e7"/>
            <w:noWrap/>
            <w:vAlign w:val="bottom"/>
            <w:hideMark/>
          </w:tcPr>
          <w:p>
            <w:pPr>
              <w:pStyle w:val="style0"/>
              <w:spacing w:after="0" w:lineRule="auto" w:line="240"/>
              <w:jc w:val="right"/>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2018</w:t>
            </w:r>
          </w:p>
        </w:tc>
        <w:tc>
          <w:tcPr>
            <w:tcW w:w="1860" w:type="dxa"/>
            <w:tcBorders>
              <w:top w:val="nil"/>
              <w:left w:val="nil"/>
              <w:bottom w:val="single" w:sz="4" w:space="0" w:color="auto"/>
              <w:right w:val="single" w:sz="4" w:space="0" w:color="auto"/>
            </w:tcBorders>
            <w:shd w:val="clear" w:color="000000" w:fill="d9e1f2"/>
            <w:noWrap/>
            <w:vAlign w:val="bottom"/>
            <w:hideMark/>
          </w:tcPr>
          <w:p>
            <w:pPr>
              <w:pStyle w:val="style0"/>
              <w:spacing w:after="0" w:lineRule="auto" w:line="240"/>
              <w:jc w:val="right"/>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8.819965692</w:t>
            </w:r>
          </w:p>
        </w:tc>
      </w:tr>
      <w:tr>
        <w:tblPrEx/>
        <w:trPr>
          <w:trHeight w:val="288" w:hRule="atLeast"/>
        </w:trPr>
        <w:tc>
          <w:tcPr>
            <w:tcW w:w="1760" w:type="dxa"/>
            <w:tcBorders>
              <w:top w:val="nil"/>
              <w:left w:val="single" w:sz="4" w:space="0" w:color="auto"/>
              <w:bottom w:val="single" w:sz="4" w:space="0" w:color="auto"/>
              <w:right w:val="single" w:sz="4" w:space="0" w:color="auto"/>
            </w:tcBorders>
            <w:shd w:val="clear" w:color="000000" w:fill="b4c6e7"/>
            <w:noWrap/>
            <w:vAlign w:val="bottom"/>
            <w:hideMark/>
          </w:tcPr>
          <w:p>
            <w:pPr>
              <w:pStyle w:val="style0"/>
              <w:spacing w:after="0" w:lineRule="auto" w:line="240"/>
              <w:jc w:val="right"/>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2019</w:t>
            </w:r>
          </w:p>
        </w:tc>
        <w:tc>
          <w:tcPr>
            <w:tcW w:w="1860" w:type="dxa"/>
            <w:tcBorders>
              <w:top w:val="nil"/>
              <w:left w:val="nil"/>
              <w:bottom w:val="single" w:sz="4" w:space="0" w:color="auto"/>
              <w:right w:val="single" w:sz="4" w:space="0" w:color="auto"/>
            </w:tcBorders>
            <w:shd w:val="clear" w:color="000000" w:fill="d9e1f2"/>
            <w:noWrap/>
            <w:vAlign w:val="bottom"/>
            <w:hideMark/>
          </w:tcPr>
          <w:p>
            <w:pPr>
              <w:pStyle w:val="style0"/>
              <w:spacing w:after="0" w:lineRule="auto" w:line="240"/>
              <w:jc w:val="right"/>
              <w:rPr>
                <w:rFonts w:ascii="Calibri" w:cs="Calibri" w:eastAsia="Times New Roman" w:hAnsi="Calibri"/>
                <w:color w:val="000000"/>
                <w:kern w:val="0"/>
                <w:lang w:eastAsia="es-PA"/>
                <w14:ligatures xmlns:w14="http://schemas.microsoft.com/office/word/2010/wordml" w14:val="none"/>
              </w:rPr>
            </w:pPr>
            <w:r>
              <w:rPr>
                <w:rFonts w:ascii="Calibri" w:cs="Calibri" w:eastAsia="Times New Roman" w:hAnsi="Calibri"/>
                <w:color w:val="000000"/>
                <w:kern w:val="0"/>
                <w:lang w:eastAsia="es-PA"/>
                <w14:ligatures xmlns:w14="http://schemas.microsoft.com/office/word/2010/wordml" w14:val="none"/>
              </w:rPr>
              <w:t>8.952176354</w:t>
            </w:r>
          </w:p>
        </w:tc>
      </w:tr>
    </w:tbl>
    <w:p>
      <w:pPr>
        <w:pStyle w:val="style179"/>
        <w:rPr>
          <w:b/>
          <w:bCs/>
          <w:sz w:val="24"/>
          <w:szCs w:val="24"/>
          <w:lang w:val="es-ES"/>
        </w:rPr>
      </w:pPr>
    </w:p>
    <w:p>
      <w:pPr>
        <w:pStyle w:val="style179"/>
        <w:rPr>
          <w:b/>
          <w:bCs/>
          <w:sz w:val="24"/>
          <w:szCs w:val="24"/>
          <w:lang w:val="es-ES"/>
        </w:rPr>
      </w:pPr>
      <w:r>
        <w:rPr>
          <w:noProof/>
        </w:rPr>
      </w:r>
      <w:r>
        <w:rPr>
          <w:noProof/>
        </w:rPr>
      </w:r>
      <w:r>
        <w:rPr>
          <w:noProof/>
        </w:rPr>
      </w:r>
      <w:r>
        <w:rPr>
          <w:noProof/>
        </w:rPr>
        <w:drawing>
          <wp:inline distL="114300" distT="0" distB="0" distR="114300">
            <wp:extent cx="4572000" cy="2743200"/>
            <wp:effectExtent l="0" t="0" r="0" b="0"/>
            <wp:docPr id="106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rPr>
      </w: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p>
    <w:p>
      <w:pPr>
        <w:pStyle w:val="style179"/>
        <w:rPr>
          <w:b/>
          <w:bCs/>
          <w:sz w:val="24"/>
          <w:szCs w:val="24"/>
          <w:lang w:val="es-ES"/>
        </w:rPr>
      </w:pPr>
    </w:p>
    <w:p>
      <w:pPr>
        <w:pStyle w:val="style179"/>
        <w:jc w:val="both"/>
        <w:rPr>
          <w:rFonts w:cs="Calibri"/>
          <w:b/>
          <w:bCs/>
          <w:sz w:val="24"/>
          <w:szCs w:val="24"/>
        </w:rPr>
      </w:pPr>
    </w:p>
    <w:p>
      <w:pPr>
        <w:pStyle w:val="style0"/>
        <w:jc w:val="center"/>
        <w:rPr>
          <w:rFonts w:ascii="Arial" w:cs="Arial" w:hAnsi="Arial"/>
          <w:b/>
          <w:bCs/>
          <w:sz w:val="28"/>
          <w:szCs w:val="24"/>
        </w:rPr>
      </w:pPr>
      <w:r>
        <w:rPr>
          <w:rFonts w:ascii="Arial" w:cs="Arial" w:hAnsi="Arial"/>
          <w:b/>
          <w:bCs/>
          <w:sz w:val="28"/>
          <w:szCs w:val="24"/>
        </w:rPr>
        <w:t>Exportaciones de zonas francas: Muebles</w:t>
      </w:r>
    </w:p>
    <w:p>
      <w:pPr>
        <w:pStyle w:val="style0"/>
        <w:jc w:val="both"/>
        <w:rPr>
          <w:rFonts w:ascii="Arial" w:cs="Arial" w:hAnsi="Arial"/>
          <w:sz w:val="24"/>
          <w:szCs w:val="24"/>
        </w:rPr>
      </w:pPr>
      <w:r>
        <w:rPr>
          <w:rFonts w:ascii="Arial" w:cs="Arial" w:hAnsi="Arial"/>
          <w:sz w:val="24"/>
          <w:szCs w:val="24"/>
        </w:rPr>
        <w:t xml:space="preserve">La base de datos de importaciones en zonas francas posee información de las importaciones que realizan estás en Panamá. </w:t>
      </w:r>
    </w:p>
    <w:p>
      <w:pPr>
        <w:pStyle w:val="style0"/>
        <w:jc w:val="both"/>
        <w:rPr>
          <w:rFonts w:ascii="Arial" w:cs="Arial" w:hAnsi="Arial"/>
          <w:sz w:val="24"/>
          <w:szCs w:val="24"/>
        </w:rPr>
      </w:pPr>
      <w:r>
        <w:rPr>
          <w:rFonts w:ascii="Arial" w:cs="Arial" w:hAnsi="Arial"/>
          <w:sz w:val="24"/>
          <w:szCs w:val="24"/>
        </w:rPr>
        <w:t xml:space="preserve">En el siguiente análisis nos estaremos centrando en las importaciones del arancel </w:t>
      </w:r>
      <w:r>
        <w:rPr>
          <w:rFonts w:ascii="Arial" w:cs="Arial" w:hAnsi="Arial"/>
          <w:sz w:val="24"/>
          <w:szCs w:val="24"/>
        </w:rPr>
        <w:t>9404.90.19.00</w:t>
      </w:r>
      <w:r>
        <w:rPr>
          <w:rFonts w:ascii="Arial" w:cs="Arial" w:hAnsi="Arial"/>
          <w:sz w:val="24"/>
          <w:szCs w:val="24"/>
        </w:rPr>
        <w:t>, el cual corresponde a muebles usados en oficinas u hospitales.</w:t>
      </w:r>
    </w:p>
    <w:p>
      <w:pPr>
        <w:pStyle w:val="style179"/>
        <w:ind w:left="0"/>
        <w:jc w:val="both"/>
        <w:rPr>
          <w:rFonts w:ascii="Arial" w:cs="Arial" w:hAnsi="Arial"/>
          <w:sz w:val="24"/>
          <w:szCs w:val="24"/>
        </w:rPr>
      </w:pPr>
      <w:r>
        <w:rPr>
          <w:rFonts w:ascii="Arial" w:cs="Arial" w:hAnsi="Arial"/>
          <w:sz w:val="24"/>
          <w:szCs w:val="24"/>
        </w:rPr>
        <w:t>La tabla posee los siguientes atributos:</w:t>
      </w:r>
    </w:p>
    <w:p>
      <w:pPr>
        <w:pStyle w:val="style179"/>
        <w:numPr>
          <w:ilvl w:val="0"/>
          <w:numId w:val="11"/>
        </w:numPr>
        <w:ind w:left="720"/>
        <w:jc w:val="both"/>
        <w:rPr>
          <w:rFonts w:ascii="Arial" w:cs="Arial" w:hAnsi="Arial"/>
          <w:sz w:val="24"/>
          <w:szCs w:val="24"/>
        </w:rPr>
      </w:pPr>
      <w:r>
        <w:rPr>
          <w:rFonts w:ascii="Arial" w:cs="Arial" w:hAnsi="Arial"/>
          <w:sz w:val="24"/>
          <w:szCs w:val="24"/>
        </w:rPr>
        <w:t>Año: Dato categórico</w:t>
      </w:r>
    </w:p>
    <w:p>
      <w:pPr>
        <w:pStyle w:val="style179"/>
        <w:numPr>
          <w:ilvl w:val="0"/>
          <w:numId w:val="11"/>
        </w:numPr>
        <w:ind w:left="720"/>
        <w:jc w:val="both"/>
        <w:rPr>
          <w:rFonts w:ascii="Arial" w:cs="Arial" w:hAnsi="Arial"/>
          <w:sz w:val="24"/>
          <w:szCs w:val="24"/>
        </w:rPr>
      </w:pPr>
      <w:r>
        <w:rPr>
          <w:rFonts w:ascii="Arial" w:cs="Arial" w:hAnsi="Arial"/>
          <w:sz w:val="24"/>
          <w:szCs w:val="24"/>
        </w:rPr>
        <w:t>Continente: Dato categórico</w:t>
      </w:r>
    </w:p>
    <w:p>
      <w:pPr>
        <w:pStyle w:val="style179"/>
        <w:numPr>
          <w:ilvl w:val="0"/>
          <w:numId w:val="11"/>
        </w:numPr>
        <w:ind w:left="720"/>
        <w:jc w:val="both"/>
        <w:rPr>
          <w:rFonts w:ascii="Arial" w:cs="Arial" w:hAnsi="Arial"/>
          <w:sz w:val="24"/>
          <w:szCs w:val="24"/>
        </w:rPr>
      </w:pPr>
      <w:r>
        <w:rPr>
          <w:rFonts w:ascii="Arial" w:cs="Arial" w:hAnsi="Arial"/>
          <w:sz w:val="24"/>
          <w:szCs w:val="24"/>
        </w:rPr>
        <w:t>Vía: Dato categórico</w:t>
      </w:r>
    </w:p>
    <w:p>
      <w:pPr>
        <w:pStyle w:val="style179"/>
        <w:numPr>
          <w:ilvl w:val="0"/>
          <w:numId w:val="11"/>
        </w:numPr>
        <w:ind w:left="720"/>
        <w:jc w:val="both"/>
        <w:rPr>
          <w:rFonts w:ascii="Arial" w:cs="Arial" w:hAnsi="Arial"/>
          <w:sz w:val="24"/>
          <w:szCs w:val="24"/>
        </w:rPr>
      </w:pPr>
      <w:r>
        <w:rPr>
          <w:rFonts w:ascii="Arial" w:cs="Arial" w:hAnsi="Arial"/>
          <w:sz w:val="24"/>
          <w:szCs w:val="24"/>
        </w:rPr>
        <w:t>Zonas francas: Dato categórico</w:t>
      </w:r>
    </w:p>
    <w:p>
      <w:pPr>
        <w:pStyle w:val="style179"/>
        <w:numPr>
          <w:ilvl w:val="0"/>
          <w:numId w:val="11"/>
        </w:numPr>
        <w:ind w:left="720"/>
        <w:jc w:val="both"/>
        <w:rPr>
          <w:rFonts w:ascii="Arial" w:cs="Arial" w:hAnsi="Arial"/>
          <w:sz w:val="24"/>
          <w:szCs w:val="24"/>
        </w:rPr>
      </w:pPr>
      <w:r>
        <w:rPr>
          <w:rFonts w:ascii="Arial" w:cs="Arial" w:hAnsi="Arial"/>
          <w:sz w:val="24"/>
          <w:szCs w:val="24"/>
        </w:rPr>
        <w:t xml:space="preserve">Mes: Dato categórico </w:t>
      </w:r>
    </w:p>
    <w:p>
      <w:pPr>
        <w:pStyle w:val="style179"/>
        <w:numPr>
          <w:ilvl w:val="0"/>
          <w:numId w:val="11"/>
        </w:numPr>
        <w:ind w:left="720"/>
        <w:jc w:val="both"/>
        <w:rPr>
          <w:rFonts w:ascii="Arial" w:cs="Arial" w:hAnsi="Arial"/>
          <w:sz w:val="24"/>
          <w:szCs w:val="24"/>
        </w:rPr>
      </w:pPr>
      <w:r>
        <w:rPr>
          <w:rFonts w:ascii="Arial" w:cs="Arial" w:hAnsi="Arial"/>
          <w:sz w:val="24"/>
          <w:szCs w:val="24"/>
        </w:rPr>
        <w:t>Arancel: Dato categórico</w:t>
      </w:r>
    </w:p>
    <w:p>
      <w:pPr>
        <w:pStyle w:val="style179"/>
        <w:numPr>
          <w:ilvl w:val="0"/>
          <w:numId w:val="11"/>
        </w:numPr>
        <w:ind w:left="720"/>
        <w:jc w:val="both"/>
        <w:rPr>
          <w:rFonts w:ascii="Arial" w:cs="Arial" w:hAnsi="Arial"/>
          <w:sz w:val="24"/>
          <w:szCs w:val="24"/>
        </w:rPr>
      </w:pPr>
      <w:r>
        <w:rPr>
          <w:rFonts w:ascii="Arial" w:cs="Arial" w:hAnsi="Arial"/>
          <w:sz w:val="24"/>
          <w:szCs w:val="24"/>
        </w:rPr>
        <w:t>Valor FOB: Dato numérico</w:t>
      </w:r>
    </w:p>
    <w:p>
      <w:pPr>
        <w:pStyle w:val="style179"/>
        <w:numPr>
          <w:ilvl w:val="0"/>
          <w:numId w:val="11"/>
        </w:numPr>
        <w:ind w:left="720"/>
        <w:jc w:val="both"/>
        <w:rPr>
          <w:rFonts w:ascii="Arial" w:cs="Arial" w:hAnsi="Arial"/>
          <w:sz w:val="24"/>
          <w:szCs w:val="24"/>
        </w:rPr>
      </w:pPr>
      <w:r>
        <w:rPr>
          <w:rFonts w:ascii="Arial" w:cs="Arial" w:hAnsi="Arial"/>
          <w:sz w:val="24"/>
          <w:szCs w:val="24"/>
        </w:rPr>
        <w:t>Peso neto: Dato numérico</w:t>
      </w:r>
    </w:p>
    <w:p>
      <w:pPr>
        <w:pStyle w:val="style0"/>
        <w:rPr>
          <w:rFonts w:ascii="Arial" w:cs="Arial" w:hAnsi="Arial"/>
          <w:sz w:val="24"/>
          <w:szCs w:val="24"/>
        </w:rPr>
      </w:pPr>
      <w:r>
        <w:rPr>
          <w:rFonts w:ascii="Arial" w:cs="Arial" w:hAnsi="Arial"/>
          <w:sz w:val="24"/>
          <w:szCs w:val="24"/>
        </w:rPr>
        <w:t>Análisis:</w:t>
      </w:r>
    </w:p>
    <w:p>
      <w:pPr>
        <w:pStyle w:val="style179"/>
        <w:numPr>
          <w:ilvl w:val="0"/>
          <w:numId w:val="12"/>
        </w:numPr>
        <w:jc w:val="both"/>
        <w:rPr>
          <w:rFonts w:ascii="Arial" w:cs="Arial" w:hAnsi="Arial"/>
          <w:sz w:val="24"/>
          <w:szCs w:val="24"/>
        </w:rPr>
      </w:pPr>
      <w:r>
        <w:rPr>
          <w:rFonts w:ascii="Arial" w:cs="Arial" w:hAnsi="Arial"/>
          <w:sz w:val="24"/>
          <w:szCs w:val="24"/>
        </w:rPr>
        <w:t xml:space="preserve">¿Qué zona franca importa la mayor cantidad de peso </w:t>
      </w:r>
      <w:r>
        <w:rPr>
          <w:rFonts w:ascii="Arial" w:cs="Arial" w:hAnsi="Arial"/>
          <w:sz w:val="24"/>
          <w:szCs w:val="24"/>
        </w:rPr>
        <w:t>neto</w:t>
      </w:r>
      <w:r>
        <w:rPr>
          <w:rFonts w:ascii="Arial" w:cs="Arial" w:hAnsi="Arial"/>
          <w:sz w:val="24"/>
          <w:szCs w:val="24"/>
        </w:rPr>
        <w:t>?</w:t>
      </w:r>
    </w:p>
    <w:p>
      <w:pPr>
        <w:pStyle w:val="style0"/>
        <w:ind w:left="1080"/>
        <w:jc w:val="both"/>
        <w:rPr>
          <w:rFonts w:ascii="Arial" w:cs="Arial" w:hAnsi="Arial"/>
          <w:sz w:val="24"/>
          <w:szCs w:val="24"/>
        </w:rPr>
      </w:pPr>
      <w:r>
        <w:rPr>
          <w:rFonts w:ascii="Arial" w:cs="Arial" w:hAnsi="Arial"/>
          <w:sz w:val="24"/>
          <w:szCs w:val="24"/>
        </w:rPr>
        <w:t xml:space="preserve">En esta grafica podemos observar las zonas francas que más han importado de este arancel en el periodo estudiado de </w:t>
      </w:r>
      <w:r>
        <w:rPr>
          <w:rFonts w:ascii="Arial" w:cs="Arial" w:hAnsi="Arial"/>
          <w:sz w:val="24"/>
          <w:szCs w:val="24"/>
        </w:rPr>
        <w:t>2017-2019</w:t>
      </w:r>
    </w:p>
    <w:p>
      <w:pPr>
        <w:pStyle w:val="style0"/>
        <w:ind w:left="1080"/>
        <w:jc w:val="both"/>
        <w:rPr>
          <w:rFonts w:ascii="Arial" w:cs="Arial" w:hAnsi="Arial"/>
          <w:sz w:val="24"/>
          <w:szCs w:val="24"/>
        </w:rPr>
      </w:pPr>
      <w:r>
        <w:rPr>
          <w:noProof/>
        </w:rPr>
      </w:r>
      <w:r>
        <w:rPr>
          <w:noProof/>
        </w:rPr>
      </w:r>
      <w:r>
        <w:rPr>
          <w:noProof/>
        </w:rPr>
      </w:r>
      <w:r>
        <w:rPr>
          <w:noProof/>
        </w:rPr>
        <w:drawing>
          <wp:inline distL="114300" distT="0" distB="0" distR="114300">
            <wp:extent cx="4572000" cy="2743200"/>
            <wp:effectExtent l="0" t="0" r="0" b="0"/>
            <wp:docPr id="106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r>
    </w:p>
    <w:p>
      <w:pPr>
        <w:pStyle w:val="style179"/>
        <w:ind w:left="1080"/>
        <w:jc w:val="both"/>
        <w:rPr>
          <w:rFonts w:ascii="Arial" w:cs="Arial" w:hAnsi="Arial"/>
          <w:sz w:val="24"/>
          <w:szCs w:val="24"/>
        </w:rPr>
      </w:pPr>
    </w:p>
    <w:p>
      <w:pPr>
        <w:pStyle w:val="style179"/>
        <w:ind w:left="1080"/>
        <w:jc w:val="both"/>
        <w:rPr>
          <w:rFonts w:ascii="Arial" w:cs="Arial" w:hAnsi="Arial"/>
          <w:sz w:val="24"/>
          <w:szCs w:val="24"/>
        </w:rPr>
      </w:pPr>
    </w:p>
    <w:p>
      <w:pPr>
        <w:pStyle w:val="style179"/>
        <w:ind w:left="1080"/>
        <w:jc w:val="both"/>
        <w:rPr>
          <w:rFonts w:ascii="Arial" w:cs="Arial" w:hAnsi="Arial"/>
          <w:sz w:val="24"/>
          <w:szCs w:val="24"/>
        </w:rPr>
      </w:pPr>
    </w:p>
    <w:p>
      <w:pPr>
        <w:pStyle w:val="style179"/>
        <w:ind w:left="1080"/>
        <w:jc w:val="both"/>
        <w:rPr>
          <w:rFonts w:ascii="Arial" w:cs="Arial" w:hAnsi="Arial"/>
          <w:sz w:val="24"/>
          <w:szCs w:val="24"/>
        </w:rPr>
      </w:pPr>
    </w:p>
    <w:p>
      <w:pPr>
        <w:pStyle w:val="style179"/>
        <w:ind w:left="1080"/>
        <w:jc w:val="both"/>
        <w:rPr>
          <w:rFonts w:ascii="Arial" w:cs="Arial" w:hAnsi="Arial"/>
          <w:sz w:val="24"/>
          <w:szCs w:val="24"/>
        </w:rPr>
      </w:pPr>
    </w:p>
    <w:p>
      <w:pPr>
        <w:pStyle w:val="style0"/>
        <w:ind w:left="1080"/>
        <w:jc w:val="both"/>
        <w:rPr>
          <w:rFonts w:ascii="Arial" w:cs="Arial" w:hAnsi="Arial"/>
          <w:sz w:val="24"/>
          <w:szCs w:val="24"/>
        </w:rPr>
      </w:pPr>
      <w:r>
        <w:rPr>
          <w:rFonts w:ascii="Arial" w:cs="Arial" w:hAnsi="Arial"/>
          <w:sz w:val="24"/>
          <w:szCs w:val="24"/>
        </w:rPr>
        <w:t xml:space="preserve">Llama la atención como </w:t>
      </w:r>
      <w:r>
        <w:rPr>
          <w:rFonts w:ascii="Arial" w:cs="Arial" w:hAnsi="Arial"/>
          <w:sz w:val="24"/>
          <w:szCs w:val="24"/>
        </w:rPr>
        <w:t>la zona que más exporta es la de Panamá pacifico superando sorpresivamente a Albrook</w:t>
      </w:r>
    </w:p>
    <w:p>
      <w:pPr>
        <w:pStyle w:val="style0"/>
        <w:ind w:left="1080"/>
        <w:jc w:val="both"/>
        <w:rPr>
          <w:rFonts w:ascii="Arial" w:cs="Arial" w:hAnsi="Arial"/>
          <w:sz w:val="24"/>
          <w:szCs w:val="24"/>
        </w:rPr>
      </w:pPr>
    </w:p>
    <w:p>
      <w:pPr>
        <w:pStyle w:val="style0"/>
        <w:ind w:left="1080"/>
        <w:jc w:val="both"/>
        <w:rPr>
          <w:rFonts w:ascii="Arial" w:cs="Arial" w:hAnsi="Arial"/>
          <w:sz w:val="24"/>
          <w:szCs w:val="24"/>
        </w:rPr>
      </w:pPr>
      <w:r>
        <w:rPr>
          <w:rFonts w:ascii="Arial" w:cs="Arial" w:hAnsi="Arial"/>
          <w:sz w:val="24"/>
          <w:szCs w:val="24"/>
        </w:rPr>
        <w:t>Al ser Panamá Pacifico el que exporta un</w:t>
      </w:r>
      <w:r>
        <w:rPr>
          <w:rFonts w:ascii="Arial" w:cs="Arial" w:hAnsi="Arial"/>
          <w:sz w:val="24"/>
          <w:szCs w:val="24"/>
        </w:rPr>
        <w:t xml:space="preserve"> 90% de este arancel, </w:t>
      </w:r>
      <w:r>
        <w:rPr>
          <w:rFonts w:ascii="Arial" w:cs="Arial" w:hAnsi="Arial"/>
          <w:sz w:val="24"/>
          <w:szCs w:val="24"/>
        </w:rPr>
        <w:t xml:space="preserve">nos centraremos en ella </w:t>
      </w:r>
    </w:p>
    <w:p>
      <w:pPr>
        <w:pStyle w:val="style0"/>
        <w:jc w:val="both"/>
        <w:rPr>
          <w:rFonts w:ascii="Arial" w:cs="Arial" w:hAnsi="Arial"/>
          <w:sz w:val="24"/>
          <w:szCs w:val="24"/>
        </w:rPr>
      </w:pPr>
    </w:p>
    <w:p>
      <w:pPr>
        <w:pStyle w:val="style179"/>
        <w:numPr>
          <w:ilvl w:val="0"/>
          <w:numId w:val="12"/>
        </w:numPr>
        <w:jc w:val="both"/>
        <w:rPr>
          <w:rFonts w:ascii="Arial" w:cs="Arial" w:hAnsi="Arial"/>
          <w:sz w:val="24"/>
          <w:szCs w:val="24"/>
        </w:rPr>
      </w:pPr>
      <w:r>
        <w:rPr>
          <w:rFonts w:ascii="Arial" w:cs="Arial" w:hAnsi="Arial"/>
          <w:sz w:val="24"/>
          <w:szCs w:val="24"/>
        </w:rPr>
        <w:t>¿Cómo se ha comportado la importación de este arancel?</w:t>
      </w:r>
    </w:p>
    <w:p>
      <w:pPr>
        <w:pStyle w:val="style0"/>
        <w:ind w:left="1080"/>
        <w:jc w:val="both"/>
        <w:rPr>
          <w:rFonts w:ascii="Arial" w:cs="Arial" w:hAnsi="Arial"/>
          <w:sz w:val="24"/>
          <w:szCs w:val="24"/>
        </w:rPr>
      </w:pPr>
      <w:r>
        <w:rPr>
          <w:rFonts w:ascii="Arial" w:cs="Arial" w:hAnsi="Arial"/>
          <w:sz w:val="24"/>
          <w:szCs w:val="24"/>
        </w:rPr>
        <w:t>El peso bruto que se ha ido</w:t>
      </w:r>
      <w:r>
        <w:rPr>
          <w:rFonts w:ascii="Arial" w:cs="Arial" w:hAnsi="Arial"/>
          <w:sz w:val="24"/>
          <w:szCs w:val="24"/>
        </w:rPr>
        <w:t xml:space="preserve"> exportando</w:t>
      </w:r>
      <w:r>
        <w:rPr>
          <w:rFonts w:ascii="Arial" w:cs="Arial" w:hAnsi="Arial"/>
          <w:sz w:val="24"/>
          <w:szCs w:val="24"/>
        </w:rPr>
        <w:t xml:space="preserve"> de este arancel aumento bastante </w:t>
      </w:r>
      <w:r>
        <w:rPr>
          <w:rFonts w:ascii="Arial" w:cs="Arial" w:hAnsi="Arial"/>
          <w:sz w:val="24"/>
          <w:szCs w:val="24"/>
        </w:rPr>
        <w:t>en el 2017 y como podemos notar tuvo una sorpresiva baja de exportaciones en el 2018</w:t>
      </w:r>
    </w:p>
    <w:p>
      <w:pPr>
        <w:pStyle w:val="style0"/>
        <w:ind w:left="1080"/>
        <w:jc w:val="both"/>
        <w:rPr>
          <w:rFonts w:ascii="Arial" w:cs="Arial" w:hAnsi="Arial"/>
          <w:sz w:val="24"/>
          <w:szCs w:val="24"/>
        </w:rPr>
      </w:pPr>
      <w:r>
        <w:rPr>
          <w:noProof/>
        </w:rPr>
      </w:r>
      <w:r>
        <w:rPr>
          <w:noProof/>
        </w:rPr>
      </w:r>
      <w:r>
        <w:rPr>
          <w:noProof/>
        </w:rPr>
      </w:r>
      <w:r>
        <w:rPr>
          <w:noProof/>
        </w:rPr>
        <w:drawing>
          <wp:inline distL="114300" distT="0" distB="0" distR="114300">
            <wp:extent cx="4572000" cy="2743200"/>
            <wp:effectExtent l="0" t="0" r="0" b="0"/>
            <wp:docPr id="106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r>
    </w:p>
    <w:p>
      <w:pPr>
        <w:pStyle w:val="style0"/>
        <w:ind w:left="1080"/>
        <w:jc w:val="both"/>
        <w:rPr>
          <w:rFonts w:ascii="Arial" w:cs="Arial" w:hAnsi="Arial"/>
          <w:sz w:val="24"/>
          <w:szCs w:val="24"/>
        </w:rPr>
      </w:pPr>
    </w:p>
    <w:p>
      <w:pPr>
        <w:pStyle w:val="style0"/>
        <w:ind w:left="1080"/>
        <w:jc w:val="both"/>
        <w:rPr>
          <w:rFonts w:ascii="Arial" w:cs="Arial" w:hAnsi="Arial"/>
          <w:sz w:val="24"/>
          <w:szCs w:val="24"/>
        </w:rPr>
      </w:pPr>
    </w:p>
    <w:p>
      <w:pPr>
        <w:pStyle w:val="style0"/>
        <w:ind w:left="1080"/>
        <w:jc w:val="both"/>
        <w:rPr>
          <w:rFonts w:ascii="Arial" w:cs="Arial" w:hAnsi="Arial"/>
          <w:sz w:val="24"/>
          <w:szCs w:val="24"/>
        </w:rPr>
      </w:pPr>
    </w:p>
    <w:p>
      <w:pPr>
        <w:pStyle w:val="style0"/>
        <w:ind w:left="1080"/>
        <w:jc w:val="both"/>
        <w:rPr>
          <w:rFonts w:ascii="Arial" w:cs="Arial" w:hAnsi="Arial"/>
          <w:sz w:val="24"/>
          <w:szCs w:val="24"/>
        </w:rPr>
      </w:pPr>
    </w:p>
    <w:p>
      <w:pPr>
        <w:pStyle w:val="style0"/>
        <w:ind w:left="1080"/>
        <w:jc w:val="both"/>
        <w:rPr>
          <w:rFonts w:ascii="Arial" w:cs="Arial" w:hAnsi="Arial"/>
          <w:sz w:val="24"/>
          <w:szCs w:val="24"/>
        </w:rPr>
      </w:pPr>
    </w:p>
    <w:p>
      <w:pPr>
        <w:pStyle w:val="style0"/>
        <w:ind w:left="1080"/>
        <w:jc w:val="both"/>
        <w:rPr>
          <w:rFonts w:ascii="Arial" w:cs="Arial" w:hAnsi="Arial"/>
          <w:sz w:val="24"/>
          <w:szCs w:val="24"/>
        </w:rPr>
      </w:pPr>
    </w:p>
    <w:p>
      <w:pPr>
        <w:pStyle w:val="style0"/>
        <w:ind w:left="1080"/>
        <w:jc w:val="both"/>
        <w:rPr>
          <w:rFonts w:ascii="Arial" w:cs="Arial" w:hAnsi="Arial"/>
          <w:sz w:val="24"/>
          <w:szCs w:val="24"/>
        </w:rPr>
      </w:pPr>
    </w:p>
    <w:p>
      <w:pPr>
        <w:pStyle w:val="style0"/>
        <w:ind w:left="1080"/>
        <w:jc w:val="both"/>
        <w:rPr>
          <w:rFonts w:ascii="Arial" w:cs="Arial" w:hAnsi="Arial"/>
          <w:sz w:val="24"/>
          <w:szCs w:val="24"/>
        </w:rPr>
      </w:pPr>
    </w:p>
    <w:p>
      <w:pPr>
        <w:pStyle w:val="style0"/>
        <w:ind w:left="1080"/>
        <w:jc w:val="both"/>
        <w:rPr>
          <w:rFonts w:ascii="Arial" w:cs="Arial" w:hAnsi="Arial"/>
          <w:sz w:val="24"/>
          <w:szCs w:val="24"/>
        </w:rPr>
      </w:pPr>
    </w:p>
    <w:p>
      <w:pPr>
        <w:pStyle w:val="style0"/>
        <w:ind w:left="1080"/>
        <w:jc w:val="both"/>
        <w:rPr>
          <w:rFonts w:ascii="Arial" w:cs="Arial" w:hAnsi="Arial"/>
          <w:sz w:val="24"/>
          <w:szCs w:val="24"/>
        </w:rPr>
      </w:pPr>
    </w:p>
    <w:p>
      <w:pPr>
        <w:pStyle w:val="style179"/>
        <w:numPr>
          <w:ilvl w:val="0"/>
          <w:numId w:val="12"/>
        </w:numPr>
        <w:jc w:val="both"/>
        <w:rPr>
          <w:rFonts w:ascii="Arial" w:cs="Arial" w:hAnsi="Arial"/>
          <w:sz w:val="24"/>
          <w:szCs w:val="24"/>
        </w:rPr>
      </w:pPr>
      <w:r>
        <w:rPr>
          <w:rFonts w:ascii="Arial" w:cs="Arial" w:hAnsi="Arial"/>
          <w:sz w:val="24"/>
          <w:szCs w:val="24"/>
        </w:rPr>
        <w:t xml:space="preserve">En la siguiente grafica podemos ver como en el año </w:t>
      </w:r>
      <w:r>
        <w:rPr>
          <w:rFonts w:ascii="Arial" w:cs="Arial" w:hAnsi="Arial"/>
          <w:sz w:val="24"/>
          <w:szCs w:val="24"/>
        </w:rPr>
        <w:t>2016 se ha pagado más en el FOB de estas exportaciones que en otros años</w:t>
      </w:r>
    </w:p>
    <w:p>
      <w:pPr>
        <w:pStyle w:val="style179"/>
        <w:jc w:val="both"/>
        <w:rPr>
          <w:rFonts w:ascii="Arial" w:cs="Arial" w:hAnsi="Arial"/>
          <w:sz w:val="24"/>
          <w:szCs w:val="24"/>
        </w:rPr>
      </w:pPr>
      <w:r>
        <w:rPr>
          <w:noProof/>
        </w:rPr>
      </w:r>
      <w:r>
        <w:rPr>
          <w:noProof/>
        </w:rPr>
      </w:r>
      <w:r>
        <w:rPr>
          <w:noProof/>
        </w:rPr>
      </w:r>
      <w:r>
        <w:rPr>
          <w:noProof/>
        </w:rPr>
        <w:drawing>
          <wp:inline distL="114300" distT="0" distB="0" distR="114300">
            <wp:extent cx="4572000" cy="2743200"/>
            <wp:effectExtent l="0" t="0" r="0" b="0"/>
            <wp:docPr id="106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r>
    </w:p>
    <w:p>
      <w:pPr>
        <w:pStyle w:val="style0"/>
        <w:jc w:val="both"/>
        <w:rPr>
          <w:rFonts w:ascii="Arial" w:cs="Arial" w:hAnsi="Arial"/>
          <w:sz w:val="24"/>
          <w:szCs w:val="24"/>
        </w:rPr>
      </w:pPr>
    </w:p>
    <w:p>
      <w:pPr>
        <w:pStyle w:val="style179"/>
        <w:numPr>
          <w:ilvl w:val="0"/>
          <w:numId w:val="12"/>
        </w:numPr>
        <w:jc w:val="both"/>
        <w:rPr>
          <w:rFonts w:ascii="Arial" w:cs="Arial" w:hAnsi="Arial"/>
          <w:sz w:val="24"/>
          <w:szCs w:val="24"/>
        </w:rPr>
      </w:pPr>
      <w:r>
        <w:rPr>
          <w:rFonts w:ascii="Arial" w:cs="Arial" w:hAnsi="Arial"/>
          <w:sz w:val="24"/>
          <w:szCs w:val="24"/>
        </w:rPr>
        <w:t xml:space="preserve">¿Promedio de peso </w:t>
      </w:r>
      <w:r>
        <w:rPr>
          <w:rFonts w:ascii="Arial" w:cs="Arial" w:hAnsi="Arial"/>
          <w:sz w:val="24"/>
          <w:szCs w:val="24"/>
        </w:rPr>
        <w:t>neto</w:t>
      </w:r>
      <w:r>
        <w:rPr>
          <w:rFonts w:ascii="Arial" w:cs="Arial" w:hAnsi="Arial"/>
          <w:sz w:val="24"/>
          <w:szCs w:val="24"/>
        </w:rPr>
        <w:t xml:space="preserve"> </w:t>
      </w:r>
      <w:r>
        <w:rPr>
          <w:rFonts w:ascii="Arial" w:cs="Arial" w:hAnsi="Arial"/>
          <w:sz w:val="24"/>
          <w:szCs w:val="24"/>
        </w:rPr>
        <w:t>importado</w:t>
      </w:r>
      <w:r>
        <w:rPr>
          <w:rFonts w:ascii="Arial" w:cs="Arial" w:hAnsi="Arial"/>
          <w:sz w:val="24"/>
          <w:szCs w:val="24"/>
        </w:rPr>
        <w:t xml:space="preserve"> en el periodo estudiado?</w:t>
      </w:r>
    </w:p>
    <w:p>
      <w:pPr>
        <w:pStyle w:val="style179"/>
        <w:jc w:val="both"/>
        <w:rPr>
          <w:rFonts w:ascii="Arial" w:cs="Arial" w:hAnsi="Arial"/>
          <w:sz w:val="24"/>
          <w:szCs w:val="24"/>
        </w:rPr>
      </w:pPr>
      <w:r>
        <w:rPr>
          <w:rFonts w:ascii="Arial" w:cs="Arial" w:hAnsi="Arial"/>
          <w:sz w:val="24"/>
          <w:szCs w:val="24"/>
        </w:rPr>
        <w:t>Podemos ver el análisis de los datos numéricos del peso en la siguiente imagen</w:t>
      </w:r>
    </w:p>
    <w:p>
      <w:pPr>
        <w:pStyle w:val="style179"/>
        <w:jc w:val="center"/>
        <w:rPr>
          <w:rFonts w:ascii="Arial" w:cs="Arial" w:hAnsi="Arial"/>
          <w:sz w:val="24"/>
          <w:szCs w:val="24"/>
        </w:rPr>
      </w:pPr>
      <w:r>
        <w:rPr>
          <w:rFonts w:ascii="Arial" w:cs="Arial" w:hAnsi="Arial"/>
          <w:noProof/>
          <w:sz w:val="24"/>
          <w:szCs w:val="24"/>
        </w:rPr>
        <w:object>
          <v:shape id="1068" type="#_x0000_t75" filled="f" stroked="f" alt="Rectángulo&#10;&#10;Descripción generada automáticamente con confianza media" style="margin-left:0.0pt;margin-top:0.0pt;width:250.53pt;height:74.26pt;mso-wrap-distance-left:0.0pt;mso-wrap-distance-right:0.0pt;visibility:visible;">
            <w10:anchorlock/>
            <v:imagedata r:id="rId24" embosscolor="white" o:title=""/>
            <v:fill/>
          </v:shape>
          <o:OLEObject Type="EMBED" ProgID="Excel.Chart.8" ShapeID="1068" DrawAspect="Content" ObjectID="0" r:id="rId25"/>
        </w:object>
      </w:r>
    </w:p>
    <w:p>
      <w:pPr>
        <w:pStyle w:val="style179"/>
        <w:jc w:val="center"/>
        <w:rPr>
          <w:rFonts w:ascii="Arial" w:cs="Arial" w:hAnsi="Arial"/>
          <w:sz w:val="24"/>
          <w:szCs w:val="24"/>
        </w:rPr>
      </w:pPr>
    </w:p>
    <w:p>
      <w:pPr>
        <w:pStyle w:val="style179"/>
        <w:numPr>
          <w:ilvl w:val="0"/>
          <w:numId w:val="12"/>
        </w:numPr>
        <w:jc w:val="both"/>
        <w:rPr>
          <w:rFonts w:ascii="Arial" w:cs="Arial" w:hAnsi="Arial"/>
          <w:sz w:val="24"/>
          <w:szCs w:val="24"/>
        </w:rPr>
      </w:pPr>
      <w:r>
        <w:rPr>
          <w:rFonts w:ascii="Arial" w:cs="Arial" w:hAnsi="Arial"/>
          <w:sz w:val="24"/>
          <w:szCs w:val="24"/>
        </w:rPr>
        <w:t>¿Promedio de valor FOB pagado en el periodo estudiado?</w:t>
      </w:r>
    </w:p>
    <w:p>
      <w:pPr>
        <w:pStyle w:val="style179"/>
        <w:jc w:val="both"/>
        <w:rPr>
          <w:rFonts w:ascii="Arial" w:cs="Arial" w:hAnsi="Arial"/>
          <w:sz w:val="24"/>
          <w:szCs w:val="24"/>
        </w:rPr>
      </w:pPr>
      <w:r>
        <w:rPr>
          <w:rFonts w:ascii="Arial" w:cs="Arial" w:hAnsi="Arial"/>
          <w:sz w:val="24"/>
          <w:szCs w:val="24"/>
        </w:rPr>
        <w:t>Podemos ver el análisis de los datos numéricos del FOB en la siguiente imagen</w:t>
      </w:r>
    </w:p>
    <w:p>
      <w:pPr>
        <w:pStyle w:val="style179"/>
        <w:jc w:val="center"/>
        <w:rPr>
          <w:rFonts w:ascii="Arial" w:cs="Arial" w:hAnsi="Arial"/>
          <w:sz w:val="24"/>
          <w:szCs w:val="24"/>
        </w:rPr>
      </w:pPr>
    </w:p>
    <w:p>
      <w:pPr>
        <w:pStyle w:val="style179"/>
        <w:jc w:val="center"/>
        <w:rPr>
          <w:rFonts w:ascii="Arial" w:cs="Arial" w:hAnsi="Arial"/>
          <w:sz w:val="24"/>
          <w:szCs w:val="24"/>
        </w:rPr>
      </w:pPr>
      <w:r>
        <w:rPr>
          <w:rFonts w:ascii="Arial" w:cs="Arial" w:hAnsi="Arial"/>
          <w:noProof/>
          <w:sz w:val="24"/>
          <w:szCs w:val="24"/>
        </w:rPr>
        <w:drawing>
          <wp:inline distL="0" distT="0" distB="0" distR="0">
            <wp:extent cx="3258005" cy="981212"/>
            <wp:effectExtent l="0" t="0" r="0" b="9525"/>
            <wp:docPr id="1069" name="Imagen 901212170" descr="Tabla&#10;&#10;Descripción generada automáticamente con confianza baja"/>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n 901212170"/>
                    <pic:cNvPicPr/>
                  </pic:nvPicPr>
                  <pic:blipFill>
                    <a:blip r:embed="rId26" cstate="print"/>
                    <a:srcRect l="0" t="0" r="0" b="0"/>
                    <a:stretch/>
                  </pic:blipFill>
                  <pic:spPr>
                    <a:xfrm rot="0">
                      <a:off x="0" y="0"/>
                      <a:ext cx="3258005" cy="981212"/>
                    </a:xfrm>
                    <a:prstGeom prst="rect"/>
                  </pic:spPr>
                </pic:pic>
              </a:graphicData>
            </a:graphic>
          </wp:inline>
        </w:drawing>
      </w:r>
    </w:p>
    <w:p>
      <w:pPr>
        <w:pStyle w:val="style179"/>
        <w:jc w:val="center"/>
        <w:rPr>
          <w:rFonts w:ascii="Arial" w:cs="Arial" w:hAnsi="Arial"/>
          <w:sz w:val="24"/>
          <w:szCs w:val="24"/>
        </w:rPr>
      </w:pPr>
    </w:p>
    <w:p>
      <w:pPr>
        <w:pStyle w:val="style179"/>
        <w:jc w:val="center"/>
        <w:rPr>
          <w:rFonts w:ascii="Arial" w:cs="Arial" w:hAnsi="Arial"/>
          <w:sz w:val="24"/>
          <w:szCs w:val="24"/>
        </w:rPr>
      </w:pPr>
    </w:p>
    <w:p>
      <w:pPr>
        <w:pStyle w:val="style179"/>
        <w:jc w:val="center"/>
        <w:rPr>
          <w:rFonts w:ascii="Arial" w:cs="Arial" w:hAnsi="Arial"/>
          <w:sz w:val="24"/>
          <w:szCs w:val="24"/>
        </w:rPr>
      </w:pPr>
    </w:p>
    <w:p>
      <w:pPr>
        <w:pStyle w:val="style179"/>
        <w:jc w:val="center"/>
        <w:rPr>
          <w:rFonts w:ascii="Arial" w:cs="Arial" w:hAnsi="Arial"/>
          <w:sz w:val="24"/>
          <w:szCs w:val="24"/>
        </w:rPr>
      </w:pPr>
    </w:p>
    <w:p>
      <w:pPr>
        <w:pStyle w:val="style179"/>
        <w:jc w:val="center"/>
        <w:rPr>
          <w:rFonts w:ascii="Arial" w:cs="Arial" w:hAnsi="Arial"/>
          <w:sz w:val="24"/>
          <w:szCs w:val="24"/>
        </w:rPr>
      </w:pPr>
    </w:p>
    <w:p>
      <w:pPr>
        <w:pStyle w:val="style179"/>
        <w:jc w:val="center"/>
        <w:rPr>
          <w:rFonts w:ascii="Arial" w:cs="Arial" w:hAnsi="Arial"/>
          <w:sz w:val="24"/>
          <w:szCs w:val="24"/>
        </w:rPr>
      </w:pPr>
    </w:p>
    <w:p>
      <w:pPr>
        <w:pStyle w:val="style179"/>
        <w:numPr>
          <w:ilvl w:val="0"/>
          <w:numId w:val="12"/>
        </w:numPr>
        <w:jc w:val="both"/>
        <w:rPr>
          <w:rFonts w:ascii="Arial" w:cs="Arial" w:hAnsi="Arial"/>
          <w:sz w:val="24"/>
          <w:szCs w:val="24"/>
        </w:rPr>
      </w:pPr>
      <w:r>
        <w:rPr>
          <w:rFonts w:ascii="Arial" w:cs="Arial" w:hAnsi="Arial"/>
          <w:sz w:val="24"/>
          <w:szCs w:val="24"/>
        </w:rPr>
        <w:t>¿Cuál es la correlación entre peso bruto y valor FOB?</w:t>
      </w:r>
    </w:p>
    <w:p>
      <w:pPr>
        <w:pStyle w:val="style179"/>
        <w:jc w:val="both"/>
        <w:rPr>
          <w:rFonts w:ascii="Arial" w:cs="Arial" w:hAnsi="Arial"/>
          <w:sz w:val="24"/>
          <w:szCs w:val="24"/>
        </w:rPr>
      </w:pPr>
      <w:r>
        <w:rPr>
          <w:rFonts w:ascii="Arial" w:cs="Arial" w:hAnsi="Arial"/>
          <w:sz w:val="24"/>
          <w:szCs w:val="24"/>
        </w:rPr>
        <w:t>Para poder analizar la relación entre las variables de peso neto y el valor FOB</w:t>
      </w:r>
    </w:p>
    <w:p>
      <w:pPr>
        <w:pStyle w:val="style179"/>
        <w:jc w:val="both"/>
        <w:rPr>
          <w:rFonts w:ascii="Arial" w:cs="Arial" w:hAnsi="Arial"/>
          <w:sz w:val="24"/>
          <w:szCs w:val="24"/>
        </w:rPr>
      </w:pPr>
      <w:r>
        <w:rPr>
          <w:rFonts w:ascii="Arial" w:cs="Arial" w:hAnsi="Arial"/>
          <w:sz w:val="24"/>
          <w:szCs w:val="24"/>
        </w:rPr>
        <w:t>Colocamos los diversos puntos que tenemos en una gráfica de dispersión, y sacamos la línea de tendencia.</w:t>
      </w:r>
    </w:p>
    <w:p>
      <w:pPr>
        <w:pStyle w:val="style0"/>
        <w:jc w:val="center"/>
        <w:rPr>
          <w:rFonts w:ascii="Arial" w:cs="Arial" w:hAnsi="Arial"/>
          <w:sz w:val="24"/>
          <w:szCs w:val="24"/>
        </w:rPr>
      </w:pPr>
      <w:r>
        <w:rPr>
          <w:noProof/>
        </w:rPr>
      </w:r>
      <w:r>
        <w:rPr>
          <w:noProof/>
        </w:rPr>
      </w:r>
      <w:r>
        <w:rPr>
          <w:noProof/>
        </w:rPr>
      </w:r>
      <w:r>
        <w:rPr>
          <w:noProof/>
        </w:rPr>
        <w:drawing>
          <wp:inline distL="114300" distT="0" distB="0" distR="114300">
            <wp:extent cx="4572000" cy="2743200"/>
            <wp:effectExtent l="0" t="0" r="0" b="0"/>
            <wp:docPr id="107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r>
    </w:p>
    <w:p>
      <w:pPr>
        <w:pStyle w:val="style0"/>
        <w:rPr>
          <w:rFonts w:ascii="Arial" w:cs="Arial" w:hAnsi="Arial"/>
          <w:sz w:val="24"/>
          <w:szCs w:val="24"/>
        </w:rPr>
      </w:pPr>
    </w:p>
    <w:p>
      <w:pPr>
        <w:pStyle w:val="style0"/>
        <w:rPr>
          <w:rFonts w:ascii="Arial" w:cs="Arial" w:hAnsi="Arial"/>
          <w:sz w:val="24"/>
          <w:szCs w:val="24"/>
        </w:rPr>
      </w:pPr>
    </w:p>
    <w:p>
      <w:pPr>
        <w:pStyle w:val="style0"/>
        <w:rPr>
          <w:rFonts w:ascii="Arial" w:cs="Arial" w:hAnsi="Arial"/>
          <w:sz w:val="24"/>
          <w:szCs w:val="24"/>
        </w:rPr>
      </w:pPr>
    </w:p>
    <w:p>
      <w:pPr>
        <w:pStyle w:val="style0"/>
        <w:jc w:val="both"/>
        <w:rPr>
          <w:rFonts w:ascii="Arial" w:cs="Arial" w:hAnsi="Arial"/>
          <w:sz w:val="24"/>
          <w:szCs w:val="24"/>
        </w:rPr>
      </w:pPr>
      <w:r>
        <w:rPr>
          <w:rFonts w:ascii="Arial" w:cs="Arial" w:hAnsi="Arial"/>
          <w:sz w:val="24"/>
          <w:szCs w:val="24"/>
        </w:rPr>
        <w:t>Formula de Regresión Lineal</w:t>
      </w:r>
    </w:p>
    <w:p>
      <w:pPr>
        <w:pStyle w:val="style0"/>
        <w:jc w:val="center"/>
        <w:rPr>
          <w:rFonts w:ascii="Cambria Math" w:cs="Arial" w:hAnsi="Cambria Math"/>
          <w:i/>
          <w:sz w:val="32"/>
          <w:szCs w:val="24"/>
        </w:rPr>
      </w:pPr>
      <w:r>
        <w:rPr>
          <w:rFonts w:ascii="Cambria Math" w:cs="Arial" w:hAnsi="Cambria Math"/>
          <w:i/>
          <w:sz w:val="32"/>
          <w:szCs w:val="24"/>
          <w:lang w:val="en-US"/>
        </w:rPr>
        <w:t>y = 0.0264x + 481.33</w:t>
      </w:r>
    </w:p>
    <w:p>
      <w:pPr>
        <w:pStyle w:val="style0"/>
        <w:jc w:val="both"/>
        <w:rPr>
          <w:rFonts w:ascii="Arial" w:cs="Arial" w:hAnsi="Arial"/>
          <w:sz w:val="24"/>
          <w:szCs w:val="24"/>
        </w:rPr>
      </w:pPr>
      <w:r>
        <w:rPr>
          <w:rFonts w:ascii="Arial" w:cs="Arial" w:hAnsi="Arial"/>
          <w:sz w:val="24"/>
          <w:szCs w:val="24"/>
        </w:rPr>
        <w:t>Y para esta fórmula tenemos los siguientes intervalos de confianza al 95% para la intercepción y el valor de la variable x1</w:t>
      </w:r>
    </w:p>
    <w:p>
      <w:pPr>
        <w:pStyle w:val="style0"/>
        <w:jc w:val="center"/>
        <w:rPr>
          <w:rFonts w:ascii="Arial" w:cs="Arial" w:hAnsi="Arial"/>
          <w:sz w:val="24"/>
          <w:szCs w:val="24"/>
        </w:rPr>
      </w:pPr>
      <w:r>
        <w:rPr>
          <w:rFonts w:ascii="Arial" w:cs="Arial" w:hAnsi="Arial"/>
          <w:noProof/>
          <w:sz w:val="24"/>
          <w:szCs w:val="24"/>
        </w:rPr>
        <w:object>
          <v:shape id="1072" type="#_x0000_t75" filled="f" stroked="f" alt="Tabla&#10;&#10;Descripción generada automáticamente" style="margin-left:0.0pt;margin-top:0.0pt;width:243.78pt;height:118.52pt;mso-wrap-distance-left:0.0pt;mso-wrap-distance-right:0.0pt;visibility:visible;">
            <w10:anchorlock/>
            <v:imagedata r:id="rId28" embosscolor="white" o:title=""/>
            <v:fill/>
          </v:shape>
          <o:OLEObject Type="EMBED" ProgID="Excel.Chart.8" ShapeID="1072" DrawAspect="Content" ObjectID="0" r:id="rId29"/>
        </w:object>
      </w:r>
    </w:p>
    <w:p>
      <w:pPr>
        <w:pStyle w:val="style0"/>
        <w:jc w:val="center"/>
        <w:rPr>
          <w:rFonts w:ascii="Arial" w:cs="Arial" w:hAnsi="Arial"/>
          <w:sz w:val="24"/>
          <w:szCs w:val="24"/>
        </w:rPr>
      </w:pPr>
    </w:p>
    <w:p>
      <w:pPr>
        <w:pStyle w:val="style0"/>
        <w:jc w:val="center"/>
        <w:rPr>
          <w:rFonts w:ascii="Arial" w:cs="Arial" w:hAnsi="Arial"/>
          <w:sz w:val="24"/>
          <w:szCs w:val="24"/>
        </w:rPr>
      </w:pPr>
    </w:p>
    <w:p>
      <w:pPr>
        <w:pStyle w:val="style0"/>
        <w:jc w:val="both"/>
        <w:rPr>
          <w:rFonts w:ascii="Arial" w:cs="Arial" w:hAnsi="Arial"/>
          <w:sz w:val="24"/>
          <w:szCs w:val="24"/>
        </w:rPr>
      </w:pPr>
      <w:r>
        <w:rPr>
          <w:rFonts w:ascii="Arial" w:cs="Arial" w:hAnsi="Arial"/>
          <w:sz w:val="24"/>
          <w:szCs w:val="24"/>
        </w:rPr>
        <w:t>El intervalo de confianza al 95% para la intercepción (β0) y el coeficiente de x1 (β1) nos indica que, si tomamos muchas muestras diferentes y calculamos el intervalo de confianza para cada muestra, aproximadamente el 95% de esos intervalos contendrían los verdaderos valores poblacionales de la intercepción y el coeficiente de x1.</w:t>
      </w:r>
    </w:p>
    <w:p>
      <w:pPr>
        <w:pStyle w:val="style0"/>
        <w:jc w:val="center"/>
        <w:rPr>
          <w:rFonts w:ascii="Arial" w:cs="Arial" w:hAnsi="Arial"/>
          <w:sz w:val="24"/>
          <w:szCs w:val="24"/>
        </w:rPr>
      </w:pPr>
    </w:p>
    <w:p>
      <w:pPr>
        <w:pStyle w:val="style0"/>
        <w:jc w:val="center"/>
        <w:rPr>
          <w:rFonts w:ascii="Arial" w:cs="Arial" w:hAnsi="Arial"/>
          <w:sz w:val="24"/>
          <w:szCs w:val="24"/>
        </w:rPr>
      </w:pPr>
    </w:p>
    <w:p>
      <w:pPr>
        <w:pStyle w:val="style0"/>
        <w:jc w:val="both"/>
        <w:rPr>
          <w:rFonts w:ascii="Arial" w:cs="Arial" w:hAnsi="Arial"/>
          <w:sz w:val="24"/>
          <w:szCs w:val="24"/>
        </w:rPr>
      </w:pPr>
      <w:r>
        <w:rPr>
          <w:rFonts w:ascii="Arial" w:cs="Arial" w:hAnsi="Arial"/>
          <w:sz w:val="24"/>
          <w:szCs w:val="24"/>
        </w:rPr>
        <w:t>En la siguiente tabla podemos ver los datos de la regresión, incluyendo el R^2 el cual nos confirma la observación de que no existe una relación entre las variables estudiadas, debido a que el valor de R^2 se encuentra lejos de 1</w:t>
      </w:r>
    </w:p>
    <w:p>
      <w:pPr>
        <w:pStyle w:val="style0"/>
        <w:jc w:val="center"/>
        <w:rPr>
          <w:rFonts w:ascii="Arial" w:cs="Arial" w:hAnsi="Arial"/>
          <w:sz w:val="24"/>
          <w:szCs w:val="24"/>
        </w:rPr>
      </w:pPr>
      <w:r>
        <w:rPr>
          <w:rFonts w:ascii="Arial" w:cs="Arial" w:hAnsi="Arial"/>
          <w:noProof/>
          <w:sz w:val="24"/>
          <w:szCs w:val="24"/>
        </w:rPr>
        <w:drawing>
          <wp:inline distL="0" distT="0" distB="0" distR="0">
            <wp:extent cx="4130040" cy="1193611"/>
            <wp:effectExtent l="0" t="0" r="3810" b="6985"/>
            <wp:docPr id="1073" name="Imagen 217867971" descr="Tabla&#10;&#10;Descripción generada automáticament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n 217867971"/>
                    <pic:cNvPicPr/>
                  </pic:nvPicPr>
                  <pic:blipFill>
                    <a:blip r:embed="rId30" cstate="print"/>
                    <a:srcRect l="0" t="0" r="0" b="0"/>
                    <a:stretch/>
                  </pic:blipFill>
                  <pic:spPr>
                    <a:xfrm rot="0">
                      <a:off x="0" y="0"/>
                      <a:ext cx="4130040" cy="1193611"/>
                    </a:xfrm>
                    <a:prstGeom prst="rect"/>
                  </pic:spPr>
                </pic:pic>
              </a:graphicData>
            </a:graphic>
          </wp:inline>
        </w:drawing>
      </w:r>
    </w:p>
    <w:p>
      <w:pPr>
        <w:pStyle w:val="style0"/>
        <w:jc w:val="both"/>
        <w:rPr>
          <w:rFonts w:ascii="Arial" w:cs="Arial" w:hAnsi="Arial"/>
          <w:sz w:val="24"/>
          <w:szCs w:val="24"/>
        </w:rPr>
      </w:pPr>
      <w:r>
        <w:rPr>
          <w:rFonts w:ascii="Arial" w:cs="Arial" w:hAnsi="Arial"/>
          <w:sz w:val="24"/>
          <w:szCs w:val="24"/>
        </w:rPr>
        <w:t>A continuación formulamos nuestras hipótesis para comprobarlas con análisis a ANOVA y la prueba F</w:t>
      </w:r>
    </w:p>
    <w:p>
      <w:pPr>
        <w:pStyle w:val="style0"/>
        <w:jc w:val="both"/>
        <w:rPr>
          <w:rFonts w:ascii="Arial" w:cs="Arial" w:hAnsi="Arial"/>
          <w:sz w:val="24"/>
          <w:szCs w:val="24"/>
        </w:rPr>
      </w:pPr>
      <w:r>
        <w:rPr>
          <w:rFonts w:ascii="Arial" w:cs="Arial" w:hAnsi="Arial"/>
          <w:sz w:val="24"/>
          <w:szCs w:val="24"/>
        </w:rPr>
        <w:t>Hipótesis nula (H0):</w:t>
      </w:r>
    </w:p>
    <w:p>
      <w:pPr>
        <w:pStyle w:val="style0"/>
        <w:jc w:val="both"/>
        <w:rPr>
          <w:rFonts w:ascii="Arial" w:cs="Arial" w:hAnsi="Arial"/>
          <w:sz w:val="24"/>
          <w:szCs w:val="24"/>
        </w:rPr>
      </w:pPr>
      <w:r>
        <w:rPr>
          <w:rFonts w:ascii="Arial" w:cs="Arial" w:hAnsi="Arial"/>
          <w:sz w:val="24"/>
          <w:szCs w:val="24"/>
        </w:rPr>
        <w:t>No hay relación significativa entre el peso y el valor FOB. En términos de coeficientes de regresión, esto se expresa como:</w:t>
      </w:r>
    </w:p>
    <w:p>
      <w:pPr>
        <w:pStyle w:val="style0"/>
        <w:jc w:val="both"/>
        <w:rPr>
          <w:rFonts w:ascii="Arial" w:cs="Arial" w:hAnsi="Arial"/>
          <w:sz w:val="24"/>
          <w:szCs w:val="24"/>
        </w:rPr>
      </w:pPr>
      <w:r>
        <w:rPr>
          <w:rFonts w:ascii="Arial" w:cs="Arial" w:hAnsi="Arial"/>
          <w:sz w:val="24"/>
          <w:szCs w:val="24"/>
        </w:rPr>
        <w:t>H0: El coeficiente de la variab</w:t>
      </w:r>
      <w:r>
        <w:rPr>
          <w:rFonts w:ascii="Arial" w:cs="Arial" w:hAnsi="Arial"/>
          <w:sz w:val="24"/>
          <w:szCs w:val="24"/>
        </w:rPr>
        <w:t>le "peso" (β1) es igual a cero.</w:t>
      </w:r>
    </w:p>
    <w:p>
      <w:pPr>
        <w:pStyle w:val="style0"/>
        <w:jc w:val="both"/>
        <w:rPr>
          <w:rFonts w:ascii="Arial" w:cs="Arial" w:hAnsi="Arial"/>
          <w:sz w:val="24"/>
          <w:szCs w:val="24"/>
        </w:rPr>
      </w:pPr>
      <w:r>
        <w:rPr>
          <w:rFonts w:ascii="Arial" w:cs="Arial" w:hAnsi="Arial"/>
          <w:sz w:val="24"/>
          <w:szCs w:val="24"/>
        </w:rPr>
        <w:t>Esto significa que la variable "peso" no tiene un efecto significativo sobre el "valor FOB" y que cualquier variación en el valor FOB no se debe a cambios en el peso.</w:t>
      </w:r>
    </w:p>
    <w:p>
      <w:pPr>
        <w:pStyle w:val="style0"/>
        <w:jc w:val="both"/>
        <w:rPr>
          <w:rFonts w:ascii="Arial" w:cs="Arial" w:hAnsi="Arial"/>
          <w:sz w:val="24"/>
          <w:szCs w:val="24"/>
        </w:rPr>
      </w:pPr>
    </w:p>
    <w:p>
      <w:pPr>
        <w:pStyle w:val="style0"/>
        <w:jc w:val="both"/>
        <w:rPr>
          <w:rFonts w:ascii="Arial" w:cs="Arial" w:hAnsi="Arial"/>
          <w:sz w:val="24"/>
          <w:szCs w:val="24"/>
        </w:rPr>
      </w:pPr>
      <w:r>
        <w:rPr>
          <w:rFonts w:ascii="Arial" w:cs="Arial" w:hAnsi="Arial"/>
          <w:sz w:val="24"/>
          <w:szCs w:val="24"/>
        </w:rPr>
        <w:t>Hipótesis alternativa (H1</w:t>
      </w:r>
      <w:r>
        <w:rPr>
          <w:rFonts w:ascii="Arial" w:cs="Arial" w:hAnsi="Arial"/>
          <w:sz w:val="24"/>
          <w:szCs w:val="24"/>
        </w:rPr>
        <w:t>):</w:t>
      </w:r>
    </w:p>
    <w:p>
      <w:pPr>
        <w:pStyle w:val="style0"/>
        <w:jc w:val="both"/>
        <w:rPr>
          <w:rFonts w:ascii="Arial" w:cs="Arial" w:hAnsi="Arial"/>
          <w:sz w:val="24"/>
          <w:szCs w:val="24"/>
        </w:rPr>
      </w:pPr>
      <w:r>
        <w:rPr>
          <w:rFonts w:ascii="Arial" w:cs="Arial" w:hAnsi="Arial"/>
          <w:sz w:val="24"/>
          <w:szCs w:val="24"/>
        </w:rPr>
        <w:t>Existe una relación significativa entre el peso y el valor FOB. En términos de coeficientes de r</w:t>
      </w:r>
      <w:r>
        <w:rPr>
          <w:rFonts w:ascii="Arial" w:cs="Arial" w:hAnsi="Arial"/>
          <w:sz w:val="24"/>
          <w:szCs w:val="24"/>
        </w:rPr>
        <w:t>egresión, esto se expresa como:</w:t>
      </w:r>
    </w:p>
    <w:p>
      <w:pPr>
        <w:pStyle w:val="style0"/>
        <w:jc w:val="both"/>
        <w:rPr>
          <w:rFonts w:ascii="Arial" w:cs="Arial" w:hAnsi="Arial"/>
          <w:sz w:val="24"/>
          <w:szCs w:val="24"/>
        </w:rPr>
      </w:pPr>
      <w:r>
        <w:rPr>
          <w:rFonts w:ascii="Arial" w:cs="Arial" w:hAnsi="Arial"/>
          <w:sz w:val="24"/>
          <w:szCs w:val="24"/>
        </w:rPr>
        <w:t>Ha: El coeficiente de la variable "p</w:t>
      </w:r>
      <w:r>
        <w:rPr>
          <w:rFonts w:ascii="Arial" w:cs="Arial" w:hAnsi="Arial"/>
          <w:sz w:val="24"/>
          <w:szCs w:val="24"/>
        </w:rPr>
        <w:t>eso" (β1) es diferente de cero.</w:t>
      </w:r>
    </w:p>
    <w:p>
      <w:pPr>
        <w:pStyle w:val="style0"/>
        <w:jc w:val="both"/>
        <w:rPr>
          <w:rFonts w:ascii="Arial" w:cs="Arial" w:hAnsi="Arial"/>
          <w:sz w:val="24"/>
          <w:szCs w:val="24"/>
        </w:rPr>
      </w:pPr>
      <w:r>
        <w:rPr>
          <w:rFonts w:ascii="Arial" w:cs="Arial" w:hAnsi="Arial"/>
          <w:sz w:val="24"/>
          <w:szCs w:val="24"/>
        </w:rPr>
        <w:t>Esto sugiere que el peso sí tiene un efecto significativo sobre el "valor FOB" y que cambios en el peso están relacionados con variaciones en el valor FOB.</w:t>
      </w: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sz w:val="24"/>
          <w:szCs w:val="24"/>
        </w:rPr>
      </w:pPr>
      <w:r>
        <w:rPr>
          <w:rFonts w:ascii="Arial" w:cs="Arial" w:hAnsi="Arial"/>
          <w:sz w:val="24"/>
          <w:szCs w:val="24"/>
        </w:rPr>
        <w:t>Realizamos un análisis de F para comprobar la hipótesis nula, con la tabla de ANOVA</w:t>
      </w:r>
    </w:p>
    <w:p>
      <w:pPr>
        <w:pStyle w:val="style0"/>
        <w:jc w:val="both"/>
        <w:rPr>
          <w:rFonts w:ascii="Arial" w:cs="Arial" w:hAnsi="Arial"/>
          <w:sz w:val="24"/>
          <w:szCs w:val="24"/>
        </w:rPr>
      </w:pPr>
      <w:r>
        <w:rPr>
          <w:rFonts w:ascii="Arial" w:cs="Arial" w:hAnsi="Arial"/>
          <w:noProof/>
          <w:sz w:val="24"/>
          <w:szCs w:val="24"/>
        </w:rPr>
        <w:drawing>
          <wp:inline distL="0" distT="0" distB="0" distR="0">
            <wp:extent cx="5612130" cy="522605"/>
            <wp:effectExtent l="0" t="0" r="7620" b="0"/>
            <wp:docPr id="1074" name="Imagen 9094759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n 909475926"/>
                    <pic:cNvPicPr/>
                  </pic:nvPicPr>
                  <pic:blipFill>
                    <a:blip r:embed="rId31" cstate="print"/>
                    <a:srcRect l="0" t="0" r="0" b="0"/>
                    <a:stretch/>
                  </pic:blipFill>
                  <pic:spPr>
                    <a:xfrm rot="0">
                      <a:off x="0" y="0"/>
                      <a:ext cx="5612130" cy="522605"/>
                    </a:xfrm>
                    <a:prstGeom prst="rect"/>
                  </pic:spPr>
                </pic:pic>
              </a:graphicData>
            </a:graphic>
          </wp:inline>
        </w:drawing>
      </w: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sz w:val="24"/>
          <w:szCs w:val="24"/>
        </w:rPr>
      </w:pPr>
    </w:p>
    <w:p>
      <w:pPr>
        <w:pStyle w:val="style179"/>
        <w:jc w:val="center"/>
        <w:rPr>
          <w:rFonts w:ascii="Arial" w:cs="Arial" w:hAnsi="Arial"/>
          <w:sz w:val="28"/>
          <w:szCs w:val="28"/>
        </w:rPr>
      </w:pPr>
      <w:r>
        <w:rPr>
          <w:rFonts w:ascii="Arial" w:cs="Arial" w:hAnsi="Arial"/>
          <w:sz w:val="28"/>
          <w:szCs w:val="28"/>
        </w:rPr>
        <w:t xml:space="preserve">Base de datos de exportaciones de </w:t>
      </w:r>
      <w:r>
        <w:rPr>
          <w:rFonts w:ascii="Arial" w:cs="Arial" w:hAnsi="Arial"/>
          <w:sz w:val="28"/>
          <w:szCs w:val="28"/>
        </w:rPr>
        <w:t>Conectores de fibras ópticas, haces o cables de fibras ópticas</w:t>
      </w:r>
      <w:r>
        <w:rPr>
          <w:rFonts w:ascii="Arial" w:cs="Arial" w:hAnsi="Arial"/>
          <w:sz w:val="28"/>
          <w:szCs w:val="28"/>
        </w:rPr>
        <w:t xml:space="preserve"> en zonas Francas</w:t>
      </w:r>
    </w:p>
    <w:p>
      <w:pPr>
        <w:pStyle w:val="style179"/>
        <w:rPr>
          <w:rFonts w:ascii="Arial" w:cs="Arial" w:hAnsi="Arial"/>
          <w:sz w:val="28"/>
          <w:szCs w:val="28"/>
        </w:rPr>
      </w:pPr>
    </w:p>
    <w:p>
      <w:pPr>
        <w:pStyle w:val="style179"/>
        <w:ind w:left="0"/>
        <w:jc w:val="both"/>
        <w:rPr>
          <w:rFonts w:ascii="Arial" w:cs="Arial" w:hAnsi="Arial"/>
          <w:sz w:val="24"/>
          <w:szCs w:val="24"/>
        </w:rPr>
      </w:pPr>
      <w:r>
        <w:rPr>
          <w:rFonts w:ascii="Arial" w:cs="Arial" w:hAnsi="Arial"/>
          <w:sz w:val="24"/>
          <w:szCs w:val="24"/>
        </w:rPr>
        <w:t xml:space="preserve">Esta base de datos posee información de las exportaciones de Conectores de Fibras Opticas realizadas por diversas zonas francas de Panamá. </w:t>
      </w:r>
    </w:p>
    <w:p>
      <w:pPr>
        <w:pStyle w:val="style179"/>
        <w:ind w:left="0"/>
        <w:jc w:val="both"/>
        <w:rPr>
          <w:rFonts w:ascii="Arial" w:cs="Arial" w:hAnsi="Arial"/>
          <w:sz w:val="24"/>
          <w:szCs w:val="24"/>
        </w:rPr>
      </w:pPr>
    </w:p>
    <w:p>
      <w:pPr>
        <w:pStyle w:val="style179"/>
        <w:ind w:left="0"/>
        <w:jc w:val="both"/>
        <w:rPr>
          <w:rFonts w:ascii="Arial" w:cs="Arial" w:hAnsi="Arial"/>
          <w:sz w:val="24"/>
          <w:szCs w:val="24"/>
        </w:rPr>
      </w:pPr>
      <w:r>
        <w:rPr>
          <w:rFonts w:ascii="Arial" w:cs="Arial" w:hAnsi="Arial"/>
          <w:sz w:val="24"/>
          <w:szCs w:val="24"/>
        </w:rPr>
        <w:t>La tabla posee los siguientes atributos:</w:t>
      </w:r>
    </w:p>
    <w:p>
      <w:pPr>
        <w:pStyle w:val="style179"/>
        <w:numPr>
          <w:ilvl w:val="0"/>
          <w:numId w:val="11"/>
        </w:numPr>
        <w:ind w:left="720"/>
        <w:jc w:val="both"/>
        <w:rPr>
          <w:rFonts w:ascii="Arial" w:cs="Arial" w:hAnsi="Arial"/>
          <w:sz w:val="24"/>
          <w:szCs w:val="24"/>
        </w:rPr>
      </w:pPr>
      <w:r>
        <w:rPr>
          <w:rFonts w:ascii="Arial" w:cs="Arial" w:hAnsi="Arial"/>
          <w:sz w:val="24"/>
          <w:szCs w:val="24"/>
        </w:rPr>
        <w:t>Año: categórico</w:t>
      </w:r>
    </w:p>
    <w:p>
      <w:pPr>
        <w:pStyle w:val="style179"/>
        <w:numPr>
          <w:ilvl w:val="0"/>
          <w:numId w:val="11"/>
        </w:numPr>
        <w:ind w:left="720"/>
        <w:jc w:val="both"/>
        <w:rPr>
          <w:rFonts w:ascii="Arial" w:cs="Arial" w:hAnsi="Arial"/>
          <w:sz w:val="24"/>
          <w:szCs w:val="24"/>
        </w:rPr>
      </w:pPr>
      <w:r>
        <w:rPr>
          <w:rFonts w:ascii="Arial" w:cs="Arial" w:hAnsi="Arial"/>
          <w:sz w:val="24"/>
          <w:szCs w:val="24"/>
        </w:rPr>
        <w:t>Continente: dato Categórico</w:t>
      </w:r>
    </w:p>
    <w:p>
      <w:pPr>
        <w:pStyle w:val="style179"/>
        <w:numPr>
          <w:ilvl w:val="0"/>
          <w:numId w:val="11"/>
        </w:numPr>
        <w:ind w:left="720"/>
        <w:jc w:val="both"/>
        <w:rPr>
          <w:rFonts w:ascii="Arial" w:cs="Arial" w:hAnsi="Arial"/>
          <w:sz w:val="24"/>
          <w:szCs w:val="24"/>
        </w:rPr>
      </w:pPr>
      <w:r>
        <w:rPr>
          <w:rFonts w:ascii="Arial" w:cs="Arial" w:hAnsi="Arial"/>
          <w:sz w:val="24"/>
          <w:szCs w:val="24"/>
        </w:rPr>
        <w:t>Vía: dato Categórico</w:t>
      </w:r>
    </w:p>
    <w:p>
      <w:pPr>
        <w:pStyle w:val="style179"/>
        <w:numPr>
          <w:ilvl w:val="0"/>
          <w:numId w:val="11"/>
        </w:numPr>
        <w:ind w:left="720"/>
        <w:jc w:val="both"/>
        <w:rPr>
          <w:rFonts w:ascii="Arial" w:cs="Arial" w:hAnsi="Arial"/>
          <w:sz w:val="24"/>
          <w:szCs w:val="24"/>
        </w:rPr>
      </w:pPr>
      <w:r>
        <w:rPr>
          <w:rFonts w:ascii="Arial" w:cs="Arial" w:hAnsi="Arial"/>
          <w:sz w:val="24"/>
          <w:szCs w:val="24"/>
        </w:rPr>
        <w:t>Zonas francas: dato  categórico</w:t>
      </w:r>
    </w:p>
    <w:p>
      <w:pPr>
        <w:pStyle w:val="style179"/>
        <w:numPr>
          <w:ilvl w:val="0"/>
          <w:numId w:val="11"/>
        </w:numPr>
        <w:ind w:left="720"/>
        <w:jc w:val="both"/>
        <w:rPr>
          <w:rFonts w:ascii="Arial" w:cs="Arial" w:hAnsi="Arial"/>
          <w:sz w:val="24"/>
          <w:szCs w:val="24"/>
        </w:rPr>
      </w:pPr>
      <w:r>
        <w:rPr>
          <w:rFonts w:ascii="Arial" w:cs="Arial" w:hAnsi="Arial"/>
          <w:sz w:val="24"/>
          <w:szCs w:val="24"/>
        </w:rPr>
        <w:t>Arancel: dato Categórico</w:t>
      </w:r>
    </w:p>
    <w:p>
      <w:pPr>
        <w:pStyle w:val="style179"/>
        <w:numPr>
          <w:ilvl w:val="0"/>
          <w:numId w:val="11"/>
        </w:numPr>
        <w:ind w:left="720"/>
        <w:jc w:val="both"/>
        <w:rPr>
          <w:rFonts w:ascii="Arial" w:cs="Arial" w:hAnsi="Arial"/>
          <w:sz w:val="24"/>
          <w:szCs w:val="24"/>
        </w:rPr>
      </w:pPr>
      <w:r>
        <w:rPr>
          <w:rFonts w:ascii="Arial" w:cs="Arial" w:hAnsi="Arial"/>
          <w:sz w:val="24"/>
          <w:szCs w:val="24"/>
        </w:rPr>
        <w:t>Valor FOB: dato numérico</w:t>
      </w:r>
    </w:p>
    <w:p>
      <w:pPr>
        <w:pStyle w:val="style179"/>
        <w:numPr>
          <w:ilvl w:val="0"/>
          <w:numId w:val="11"/>
        </w:numPr>
        <w:ind w:left="720"/>
        <w:jc w:val="both"/>
        <w:rPr>
          <w:rFonts w:ascii="Arial" w:cs="Arial" w:hAnsi="Arial"/>
          <w:sz w:val="24"/>
          <w:szCs w:val="24"/>
        </w:rPr>
      </w:pPr>
      <w:r>
        <w:rPr>
          <w:rFonts w:ascii="Arial" w:cs="Arial" w:hAnsi="Arial"/>
          <w:sz w:val="24"/>
          <w:szCs w:val="24"/>
        </w:rPr>
        <w:t>Peso Bruto: dato numérico</w:t>
      </w:r>
    </w:p>
    <w:p>
      <w:pPr>
        <w:pStyle w:val="style0"/>
        <w:jc w:val="both"/>
        <w:rPr>
          <w:rFonts w:ascii="Arial" w:cs="Arial" w:hAnsi="Arial"/>
          <w:sz w:val="24"/>
          <w:szCs w:val="24"/>
        </w:rPr>
      </w:pPr>
    </w:p>
    <w:p>
      <w:pPr>
        <w:pStyle w:val="style0"/>
        <w:jc w:val="both"/>
        <w:rPr>
          <w:rFonts w:ascii="Arial" w:cs="Arial" w:hAnsi="Arial"/>
          <w:sz w:val="24"/>
          <w:szCs w:val="24"/>
        </w:rPr>
      </w:pPr>
      <w:r>
        <w:rPr>
          <w:rFonts w:ascii="Arial" w:cs="Arial" w:hAnsi="Arial"/>
          <w:sz w:val="24"/>
          <w:szCs w:val="24"/>
        </w:rPr>
        <w:t>Análisis</w:t>
      </w:r>
    </w:p>
    <w:p>
      <w:pPr>
        <w:pStyle w:val="style179"/>
        <w:numPr>
          <w:ilvl w:val="0"/>
          <w:numId w:val="13"/>
        </w:numPr>
        <w:ind w:left="348"/>
        <w:jc w:val="both"/>
        <w:rPr>
          <w:rFonts w:ascii="Arial" w:cs="Arial" w:hAnsi="Arial"/>
          <w:sz w:val="24"/>
          <w:szCs w:val="24"/>
        </w:rPr>
      </w:pPr>
      <w:r>
        <w:rPr>
          <w:rFonts w:ascii="Arial" w:cs="Arial" w:hAnsi="Arial"/>
          <w:sz w:val="24"/>
          <w:szCs w:val="24"/>
        </w:rPr>
        <w:t>¿Qué zona franca exporta la mayor cantidad de peso bruto?</w:t>
      </w:r>
    </w:p>
    <w:p>
      <w:pPr>
        <w:pStyle w:val="style179"/>
        <w:ind w:left="348"/>
        <w:jc w:val="both"/>
        <w:rPr>
          <w:rFonts w:ascii="Arial" w:cs="Arial" w:hAnsi="Arial"/>
          <w:sz w:val="24"/>
          <w:szCs w:val="24"/>
        </w:rPr>
      </w:pPr>
      <w:r>
        <w:rPr>
          <w:rFonts w:ascii="Arial" w:cs="Arial" w:hAnsi="Arial"/>
          <w:sz w:val="24"/>
          <w:szCs w:val="24"/>
        </w:rPr>
        <w:t>Para esto analizamos la cantidad total de peso bruto exportado por cada zona franca en el periodo de 2011-2016</w:t>
      </w:r>
    </w:p>
    <w:p>
      <w:pPr>
        <w:pStyle w:val="style0"/>
        <w:jc w:val="center"/>
        <w:rPr>
          <w:rFonts w:ascii="Arial" w:cs="Arial" w:hAnsi="Arial"/>
          <w:sz w:val="24"/>
          <w:szCs w:val="24"/>
        </w:rPr>
      </w:pPr>
      <w:r>
        <w:rPr>
          <w:noProof/>
        </w:rPr>
      </w:r>
      <w:r>
        <w:rPr>
          <w:noProof/>
        </w:rPr>
      </w:r>
      <w:r>
        <w:rPr>
          <w:noProof/>
        </w:rPr>
      </w:r>
      <w:r>
        <w:rPr>
          <w:noProof/>
        </w:rPr>
        <w:drawing>
          <wp:inline distL="114300" distT="0" distB="0" distR="114300">
            <wp:extent cx="4572000" cy="2743200"/>
            <wp:effectExtent l="0" t="0" r="0" b="0"/>
            <wp:docPr id="107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Pr>
          <w:noProof/>
        </w:rPr>
      </w:r>
    </w:p>
    <w:p>
      <w:pPr>
        <w:pStyle w:val="style0"/>
        <w:jc w:val="both"/>
        <w:rPr>
          <w:rFonts w:ascii="Arial" w:cs="Arial" w:hAnsi="Arial"/>
          <w:sz w:val="24"/>
          <w:szCs w:val="24"/>
        </w:rPr>
      </w:pPr>
      <w:r>
        <w:rPr>
          <w:rFonts w:ascii="Arial" w:cs="Arial" w:hAnsi="Arial"/>
          <w:sz w:val="24"/>
          <w:szCs w:val="24"/>
        </w:rPr>
        <w:t>En esta grafica podemos ver como la zona franca que más exporto peso bruto de cables de fibra optica fue Panamá pacifico</w:t>
      </w:r>
    </w:p>
    <w:p>
      <w:pPr>
        <w:pStyle w:val="style0"/>
        <w:jc w:val="center"/>
        <w:rPr>
          <w:rFonts w:ascii="Arial" w:cs="Arial" w:hAnsi="Arial"/>
          <w:sz w:val="24"/>
          <w:szCs w:val="24"/>
        </w:rPr>
      </w:pPr>
    </w:p>
    <w:p>
      <w:pPr>
        <w:pStyle w:val="style0"/>
        <w:jc w:val="both"/>
        <w:rPr>
          <w:rFonts w:ascii="Arial" w:cs="Arial" w:hAnsi="Arial"/>
          <w:sz w:val="24"/>
          <w:szCs w:val="24"/>
        </w:rPr>
      </w:pPr>
    </w:p>
    <w:p>
      <w:pPr>
        <w:pStyle w:val="style179"/>
        <w:numPr>
          <w:ilvl w:val="0"/>
          <w:numId w:val="13"/>
        </w:numPr>
        <w:ind w:left="360"/>
        <w:jc w:val="both"/>
        <w:rPr>
          <w:rFonts w:ascii="Arial" w:cs="Arial" w:hAnsi="Arial"/>
          <w:sz w:val="24"/>
          <w:szCs w:val="24"/>
        </w:rPr>
      </w:pPr>
      <w:r>
        <w:rPr>
          <w:rFonts w:ascii="Arial" w:cs="Arial" w:hAnsi="Arial"/>
          <w:sz w:val="24"/>
          <w:szCs w:val="24"/>
        </w:rPr>
        <w:t>¿Cuál zona franca ha pagado el valor más alto de FOB en el periodo de tiempo estudiado?</w:t>
      </w:r>
    </w:p>
    <w:p>
      <w:pPr>
        <w:pStyle w:val="style179"/>
        <w:ind w:left="360"/>
        <w:jc w:val="both"/>
        <w:rPr>
          <w:rFonts w:ascii="Arial" w:cs="Arial" w:hAnsi="Arial"/>
          <w:sz w:val="24"/>
          <w:szCs w:val="24"/>
        </w:rPr>
      </w:pPr>
    </w:p>
    <w:p>
      <w:pPr>
        <w:pStyle w:val="style179"/>
        <w:ind w:left="360"/>
        <w:jc w:val="both"/>
        <w:rPr>
          <w:rFonts w:ascii="Arial" w:cs="Arial" w:hAnsi="Arial"/>
          <w:sz w:val="24"/>
          <w:szCs w:val="24"/>
        </w:rPr>
      </w:pPr>
      <w:r>
        <w:rPr>
          <w:noProof/>
        </w:rPr>
      </w:r>
      <w:r>
        <w:rPr>
          <w:noProof/>
        </w:rPr>
      </w:r>
      <w:r>
        <w:rPr>
          <w:noProof/>
        </w:rPr>
      </w:r>
      <w:r>
        <w:rPr>
          <w:noProof/>
        </w:rPr>
        <w:drawing>
          <wp:inline distL="114300" distT="0" distB="0" distR="114300">
            <wp:extent cx="4572000" cy="2743200"/>
            <wp:effectExtent l="0" t="0" r="0" b="0"/>
            <wp:docPr id="107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noProof/>
        </w:rPr>
      </w:r>
    </w:p>
    <w:p>
      <w:pPr>
        <w:pStyle w:val="style179"/>
        <w:ind w:left="360"/>
        <w:jc w:val="both"/>
        <w:rPr>
          <w:rFonts w:ascii="Arial" w:cs="Arial" w:hAnsi="Arial"/>
          <w:sz w:val="24"/>
          <w:szCs w:val="24"/>
        </w:rPr>
      </w:pPr>
      <w:r>
        <w:rPr>
          <w:rFonts w:ascii="Arial" w:cs="Arial" w:hAnsi="Arial"/>
          <w:sz w:val="24"/>
          <w:szCs w:val="24"/>
        </w:rPr>
        <w:t>En esta grafica podemos apreciar que el valor más alto de FOB pagado fue en 2016 con un total de 14000</w:t>
      </w:r>
    </w:p>
    <w:p>
      <w:pPr>
        <w:pStyle w:val="style179"/>
        <w:ind w:left="360"/>
        <w:jc w:val="both"/>
        <w:rPr>
          <w:rFonts w:ascii="Arial" w:cs="Arial" w:hAnsi="Arial"/>
          <w:sz w:val="24"/>
          <w:szCs w:val="24"/>
        </w:rPr>
      </w:pPr>
    </w:p>
    <w:p>
      <w:pPr>
        <w:pStyle w:val="style179"/>
        <w:ind w:left="360"/>
        <w:jc w:val="both"/>
        <w:rPr>
          <w:rFonts w:ascii="Arial" w:cs="Arial" w:hAnsi="Arial"/>
          <w:sz w:val="24"/>
          <w:szCs w:val="24"/>
        </w:rPr>
      </w:pPr>
    </w:p>
    <w:p>
      <w:pPr>
        <w:pStyle w:val="style179"/>
        <w:ind w:left="360"/>
        <w:jc w:val="both"/>
        <w:rPr>
          <w:rFonts w:ascii="Arial" w:cs="Arial" w:hAnsi="Arial"/>
          <w:sz w:val="24"/>
          <w:szCs w:val="24"/>
        </w:rPr>
      </w:pPr>
    </w:p>
    <w:p>
      <w:pPr>
        <w:pStyle w:val="style179"/>
        <w:numPr>
          <w:ilvl w:val="0"/>
          <w:numId w:val="13"/>
        </w:numPr>
        <w:ind w:left="360"/>
        <w:jc w:val="both"/>
        <w:rPr>
          <w:rFonts w:ascii="Arial" w:cs="Arial" w:hAnsi="Arial"/>
          <w:sz w:val="24"/>
          <w:szCs w:val="24"/>
        </w:rPr>
      </w:pPr>
      <w:r>
        <w:rPr>
          <w:rFonts w:ascii="Arial" w:cs="Arial" w:hAnsi="Arial"/>
          <w:sz w:val="24"/>
          <w:szCs w:val="24"/>
        </w:rPr>
        <w:t>¿Cuál es el continente al que más se exporta Ron?</w:t>
      </w:r>
    </w:p>
    <w:p>
      <w:pPr>
        <w:pStyle w:val="style179"/>
        <w:ind w:left="360"/>
        <w:jc w:val="both"/>
        <w:rPr>
          <w:rFonts w:ascii="Arial" w:cs="Arial" w:hAnsi="Arial"/>
          <w:sz w:val="24"/>
          <w:szCs w:val="24"/>
        </w:rPr>
      </w:pPr>
    </w:p>
    <w:p>
      <w:pPr>
        <w:pStyle w:val="style179"/>
        <w:ind w:left="360"/>
        <w:jc w:val="both"/>
        <w:rPr>
          <w:rFonts w:ascii="Arial" w:cs="Arial" w:hAnsi="Arial"/>
          <w:sz w:val="24"/>
          <w:szCs w:val="24"/>
        </w:rPr>
      </w:pPr>
      <w:r>
        <w:rPr>
          <w:rFonts w:ascii="Arial" w:cs="Arial" w:hAnsi="Arial"/>
          <w:sz w:val="24"/>
          <w:szCs w:val="24"/>
        </w:rPr>
        <w:t>Esto lo podemos analizar con la siguiente grafica que nos muestra por continente cuanto peso bruto se exporto.</w:t>
      </w:r>
    </w:p>
    <w:p>
      <w:pPr>
        <w:pStyle w:val="style179"/>
        <w:ind w:left="360"/>
        <w:jc w:val="both"/>
        <w:rPr>
          <w:rFonts w:ascii="Arial" w:cs="Arial" w:hAnsi="Arial"/>
          <w:sz w:val="24"/>
          <w:szCs w:val="24"/>
        </w:rPr>
      </w:pPr>
      <w:r>
        <w:rPr>
          <w:noProof/>
        </w:rPr>
      </w:r>
      <w:r>
        <w:rPr>
          <w:noProof/>
        </w:rPr>
      </w:r>
      <w:r>
        <w:rPr>
          <w:noProof/>
        </w:rPr>
      </w:r>
      <w:r>
        <w:rPr>
          <w:noProof/>
        </w:rPr>
        <w:drawing>
          <wp:inline distL="114300" distT="0" distB="0" distR="114300">
            <wp:extent cx="4572000" cy="2743200"/>
            <wp:effectExtent l="0" t="0" r="0" b="0"/>
            <wp:docPr id="108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noProof/>
        </w:rPr>
      </w:r>
    </w:p>
    <w:p>
      <w:pPr>
        <w:pStyle w:val="style179"/>
        <w:ind w:left="360"/>
        <w:jc w:val="both"/>
        <w:rPr>
          <w:rFonts w:ascii="Arial" w:cs="Arial" w:hAnsi="Arial"/>
          <w:sz w:val="24"/>
          <w:szCs w:val="24"/>
        </w:rPr>
      </w:pPr>
    </w:p>
    <w:p>
      <w:pPr>
        <w:pStyle w:val="style179"/>
        <w:ind w:left="360"/>
        <w:jc w:val="both"/>
        <w:rPr>
          <w:rFonts w:ascii="Arial" w:cs="Arial" w:hAnsi="Arial"/>
          <w:sz w:val="24"/>
          <w:szCs w:val="24"/>
        </w:rPr>
      </w:pPr>
      <w:r>
        <w:rPr>
          <w:rFonts w:ascii="Arial" w:cs="Arial" w:hAnsi="Arial"/>
          <w:sz w:val="24"/>
          <w:szCs w:val="24"/>
        </w:rPr>
        <w:t>Los continentes a los que más ron se exportó por las zonas francas estudiadas en el periodo 2016 – 2019 fueron America y Asia</w:t>
      </w:r>
    </w:p>
    <w:p>
      <w:pPr>
        <w:pStyle w:val="style179"/>
        <w:ind w:left="360"/>
        <w:jc w:val="both"/>
        <w:rPr>
          <w:rFonts w:ascii="Arial" w:cs="Arial" w:hAnsi="Arial"/>
          <w:sz w:val="24"/>
          <w:szCs w:val="24"/>
        </w:rPr>
      </w:pPr>
    </w:p>
    <w:p>
      <w:pPr>
        <w:pStyle w:val="style0"/>
        <w:jc w:val="both"/>
        <w:rPr>
          <w:rFonts w:ascii="Arial" w:cs="Arial" w:hAnsi="Arial"/>
          <w:sz w:val="24"/>
          <w:szCs w:val="24"/>
        </w:rPr>
      </w:pPr>
    </w:p>
    <w:p>
      <w:pPr>
        <w:pStyle w:val="style179"/>
        <w:ind w:left="360"/>
        <w:jc w:val="both"/>
        <w:rPr>
          <w:rFonts w:ascii="Arial" w:cs="Arial" w:hAnsi="Arial"/>
          <w:sz w:val="24"/>
          <w:szCs w:val="24"/>
        </w:rPr>
      </w:pPr>
    </w:p>
    <w:p>
      <w:pPr>
        <w:pStyle w:val="style179"/>
        <w:numPr>
          <w:ilvl w:val="0"/>
          <w:numId w:val="13"/>
        </w:numPr>
        <w:ind w:left="360"/>
        <w:jc w:val="both"/>
        <w:rPr>
          <w:rFonts w:ascii="Arial" w:cs="Arial" w:hAnsi="Arial"/>
          <w:sz w:val="24"/>
          <w:szCs w:val="24"/>
        </w:rPr>
      </w:pPr>
      <w:r>
        <w:rPr>
          <w:rFonts w:ascii="Arial" w:cs="Arial" w:hAnsi="Arial"/>
          <w:sz w:val="24"/>
          <w:szCs w:val="24"/>
        </w:rPr>
        <w:t>¿Cuál es la vía preferida de transporte de este tipo de producto?</w:t>
      </w:r>
    </w:p>
    <w:p>
      <w:pPr>
        <w:pStyle w:val="style179"/>
        <w:ind w:left="360"/>
        <w:jc w:val="both"/>
        <w:rPr>
          <w:rFonts w:ascii="Arial" w:cs="Arial" w:hAnsi="Arial"/>
          <w:sz w:val="24"/>
          <w:szCs w:val="24"/>
        </w:rPr>
      </w:pPr>
      <w:r>
        <w:rPr>
          <w:rFonts w:ascii="Arial" w:cs="Arial" w:hAnsi="Arial"/>
          <w:sz w:val="24"/>
          <w:szCs w:val="24"/>
        </w:rPr>
        <w:t>La via preferida para la exportación es la terrestre y aerea lo cual se relaciona a los paises donde se exporta este producto.</w:t>
      </w:r>
    </w:p>
    <w:p>
      <w:pPr>
        <w:pStyle w:val="style179"/>
        <w:ind w:left="360"/>
        <w:jc w:val="both"/>
        <w:rPr>
          <w:rFonts w:ascii="Arial" w:cs="Arial" w:hAnsi="Arial"/>
          <w:sz w:val="24"/>
          <w:szCs w:val="24"/>
        </w:rPr>
      </w:pPr>
    </w:p>
    <w:p>
      <w:pPr>
        <w:pStyle w:val="style179"/>
        <w:ind w:left="360"/>
        <w:jc w:val="both"/>
        <w:rPr>
          <w:rFonts w:ascii="Arial" w:cs="Arial" w:hAnsi="Arial"/>
          <w:sz w:val="24"/>
          <w:szCs w:val="24"/>
        </w:rPr>
      </w:pPr>
      <w:r>
        <w:rPr>
          <w:noProof/>
        </w:rPr>
      </w:r>
      <w:r>
        <w:rPr>
          <w:noProof/>
        </w:rPr>
      </w:r>
      <w:r>
        <w:rPr>
          <w:noProof/>
        </w:rPr>
      </w:r>
      <w:r>
        <w:rPr>
          <w:noProof/>
        </w:rPr>
        <w:drawing>
          <wp:inline distL="114300" distT="0" distB="0" distR="114300">
            <wp:extent cx="4572000" cy="2743200"/>
            <wp:effectExtent l="0" t="0" r="0" b="0"/>
            <wp:docPr id="108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noProof/>
        </w:rPr>
      </w:r>
    </w:p>
    <w:p>
      <w:pPr>
        <w:pStyle w:val="style179"/>
        <w:ind w:left="360"/>
        <w:jc w:val="both"/>
        <w:rPr>
          <w:rFonts w:ascii="Arial" w:cs="Arial" w:hAnsi="Arial"/>
          <w:sz w:val="24"/>
          <w:szCs w:val="24"/>
        </w:rPr>
      </w:pPr>
    </w:p>
    <w:p>
      <w:pPr>
        <w:pStyle w:val="style179"/>
        <w:numPr>
          <w:ilvl w:val="0"/>
          <w:numId w:val="13"/>
        </w:numPr>
        <w:ind w:left="360"/>
        <w:jc w:val="both"/>
        <w:rPr>
          <w:rFonts w:ascii="Arial" w:cs="Arial" w:hAnsi="Arial"/>
          <w:sz w:val="24"/>
          <w:szCs w:val="24"/>
        </w:rPr>
      </w:pPr>
      <w:r>
        <w:rPr>
          <w:rFonts w:ascii="Arial" w:cs="Arial" w:hAnsi="Arial"/>
          <w:sz w:val="24"/>
          <w:szCs w:val="24"/>
        </w:rPr>
        <w:t>¿Media de peso bruto exportado en el periodo estudiado?</w:t>
      </w:r>
    </w:p>
    <w:p>
      <w:pPr>
        <w:pStyle w:val="style179"/>
        <w:ind w:left="360"/>
        <w:jc w:val="both"/>
        <w:rPr>
          <w:rFonts w:ascii="Arial" w:cs="Arial" w:hAnsi="Arial"/>
          <w:sz w:val="24"/>
          <w:szCs w:val="24"/>
        </w:rPr>
      </w:pPr>
      <w:r>
        <w:rPr>
          <w:rFonts w:ascii="Arial" w:cs="Arial" w:hAnsi="Arial"/>
          <w:sz w:val="24"/>
          <w:szCs w:val="24"/>
        </w:rPr>
        <w:t>Conseguimos los cálculos de la media, varianza y la desviación estándar del peso.</w:t>
      </w:r>
    </w:p>
    <w:p>
      <w:pPr>
        <w:pStyle w:val="style179"/>
        <w:ind w:left="360"/>
        <w:jc w:val="center"/>
        <w:rPr>
          <w:rFonts w:ascii="Arial" w:cs="Arial" w:hAnsi="Arial"/>
          <w:sz w:val="24"/>
          <w:szCs w:val="24"/>
        </w:rPr>
      </w:pPr>
      <w:r>
        <w:rPr>
          <w:rFonts w:ascii="Arial" w:cs="Arial" w:hAnsi="Arial"/>
          <w:noProof/>
          <w:sz w:val="24"/>
          <w:szCs w:val="24"/>
        </w:rPr>
        <w:object>
          <v:shape id="1083" type="#_x0000_t75" filled="f" stroked="f" alt="Imagen que contiene Tabla&#10;&#10;Descripción generada automáticamente" style="margin-left:0.0pt;margin-top:0.0pt;width:255.79pt;height:82.51pt;mso-wrap-distance-left:0.0pt;mso-wrap-distance-right:0.0pt;visibility:visible;">
            <w10:anchorlock/>
            <v:imagedata r:id="rId36" embosscolor="white" o:title=""/>
            <v:fill/>
          </v:shape>
          <o:OLEObject Type="EMBED" ProgID="Excel.Chart.8" ShapeID="1083" DrawAspect="Content" ObjectID="0" r:id="rId37"/>
        </w:object>
      </w:r>
    </w:p>
    <w:p>
      <w:pPr>
        <w:pStyle w:val="style179"/>
        <w:ind w:left="360"/>
        <w:jc w:val="center"/>
        <w:rPr>
          <w:rFonts w:ascii="Arial" w:cs="Arial" w:hAnsi="Arial"/>
          <w:sz w:val="24"/>
          <w:szCs w:val="24"/>
        </w:rPr>
      </w:pPr>
    </w:p>
    <w:p>
      <w:pPr>
        <w:pStyle w:val="style179"/>
        <w:ind w:left="360"/>
        <w:jc w:val="center"/>
        <w:rPr>
          <w:rFonts w:ascii="Arial" w:cs="Arial" w:hAnsi="Arial"/>
          <w:sz w:val="24"/>
          <w:szCs w:val="24"/>
        </w:rPr>
      </w:pPr>
    </w:p>
    <w:p>
      <w:pPr>
        <w:pStyle w:val="style179"/>
        <w:ind w:left="360"/>
        <w:jc w:val="center"/>
        <w:rPr>
          <w:rFonts w:ascii="Arial" w:cs="Arial" w:hAnsi="Arial"/>
          <w:sz w:val="24"/>
          <w:szCs w:val="24"/>
        </w:rPr>
      </w:pPr>
    </w:p>
    <w:p>
      <w:pPr>
        <w:pStyle w:val="style179"/>
        <w:ind w:left="360"/>
        <w:jc w:val="center"/>
        <w:rPr>
          <w:rFonts w:ascii="Arial" w:cs="Arial" w:hAnsi="Arial"/>
          <w:sz w:val="24"/>
          <w:szCs w:val="24"/>
        </w:rPr>
      </w:pPr>
    </w:p>
    <w:p>
      <w:pPr>
        <w:pStyle w:val="style179"/>
        <w:ind w:left="360"/>
        <w:jc w:val="center"/>
        <w:rPr>
          <w:rFonts w:ascii="Arial" w:cs="Arial" w:hAnsi="Arial"/>
          <w:sz w:val="24"/>
          <w:szCs w:val="24"/>
        </w:rPr>
      </w:pPr>
    </w:p>
    <w:p>
      <w:pPr>
        <w:pStyle w:val="style179"/>
        <w:ind w:left="360"/>
        <w:jc w:val="center"/>
        <w:rPr>
          <w:rFonts w:ascii="Arial" w:cs="Arial" w:hAnsi="Arial"/>
          <w:sz w:val="24"/>
          <w:szCs w:val="24"/>
        </w:rPr>
      </w:pPr>
    </w:p>
    <w:p>
      <w:pPr>
        <w:pStyle w:val="style179"/>
        <w:ind w:left="360"/>
        <w:jc w:val="center"/>
        <w:rPr>
          <w:rFonts w:ascii="Arial" w:cs="Arial" w:hAnsi="Arial"/>
          <w:sz w:val="24"/>
          <w:szCs w:val="24"/>
        </w:rPr>
      </w:pPr>
    </w:p>
    <w:p>
      <w:pPr>
        <w:pStyle w:val="style179"/>
        <w:ind w:left="360"/>
        <w:jc w:val="center"/>
        <w:rPr>
          <w:rFonts w:ascii="Arial" w:cs="Arial" w:hAnsi="Arial"/>
          <w:sz w:val="24"/>
          <w:szCs w:val="24"/>
        </w:rPr>
      </w:pPr>
    </w:p>
    <w:p>
      <w:pPr>
        <w:pStyle w:val="style179"/>
        <w:ind w:left="360"/>
        <w:rPr>
          <w:rFonts w:ascii="Arial" w:cs="Arial" w:hAnsi="Arial"/>
          <w:sz w:val="24"/>
          <w:szCs w:val="24"/>
        </w:rPr>
      </w:pPr>
    </w:p>
    <w:p>
      <w:pPr>
        <w:pStyle w:val="style179"/>
        <w:numPr>
          <w:ilvl w:val="0"/>
          <w:numId w:val="13"/>
        </w:numPr>
        <w:ind w:left="360"/>
        <w:jc w:val="both"/>
        <w:rPr>
          <w:rFonts w:ascii="Arial" w:cs="Arial" w:hAnsi="Arial"/>
          <w:sz w:val="24"/>
          <w:szCs w:val="24"/>
        </w:rPr>
      </w:pPr>
      <w:r>
        <w:rPr>
          <w:rFonts w:ascii="Arial" w:cs="Arial" w:hAnsi="Arial"/>
          <w:sz w:val="24"/>
          <w:szCs w:val="24"/>
        </w:rPr>
        <w:t>¿Promedio de valor FOB pagado en el periodo estudiado?</w:t>
      </w:r>
    </w:p>
    <w:p>
      <w:pPr>
        <w:pStyle w:val="style179"/>
        <w:ind w:left="360"/>
        <w:jc w:val="both"/>
        <w:rPr>
          <w:rFonts w:ascii="Arial" w:cs="Arial" w:hAnsi="Arial"/>
          <w:sz w:val="24"/>
          <w:szCs w:val="24"/>
        </w:rPr>
      </w:pPr>
      <w:r>
        <w:rPr>
          <w:rFonts w:ascii="Arial" w:cs="Arial" w:hAnsi="Arial"/>
          <w:sz w:val="24"/>
          <w:szCs w:val="24"/>
        </w:rPr>
        <w:t>Conseguimos los cálculos de la media, varianza y la desviación estándar del FOB.</w:t>
      </w:r>
    </w:p>
    <w:p>
      <w:pPr>
        <w:pStyle w:val="style179"/>
        <w:ind w:left="360"/>
        <w:jc w:val="center"/>
        <w:rPr>
          <w:rFonts w:ascii="Arial" w:cs="Arial" w:hAnsi="Arial"/>
          <w:sz w:val="24"/>
          <w:szCs w:val="24"/>
        </w:rPr>
      </w:pPr>
      <w:r>
        <w:rPr>
          <w:rFonts w:ascii="Arial" w:cs="Arial" w:hAnsi="Arial"/>
          <w:noProof/>
          <w:sz w:val="24"/>
          <w:szCs w:val="24"/>
        </w:rPr>
        <w:drawing>
          <wp:inline distL="0" distT="0" distB="0" distR="0">
            <wp:extent cx="3267530" cy="981212"/>
            <wp:effectExtent l="0" t="0" r="9525" b="9525"/>
            <wp:docPr id="1084" name="Imagen 1320582844" descr="Rectángulo&#10;&#10;Descripción generada automáticamente con confianza baja"/>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n 1320582844"/>
                    <pic:cNvPicPr/>
                  </pic:nvPicPr>
                  <pic:blipFill>
                    <a:blip r:embed="rId38" cstate="print"/>
                    <a:srcRect l="0" t="0" r="0" b="0"/>
                    <a:stretch/>
                  </pic:blipFill>
                  <pic:spPr>
                    <a:xfrm rot="0">
                      <a:off x="0" y="0"/>
                      <a:ext cx="3267530" cy="981212"/>
                    </a:xfrm>
                    <a:prstGeom prst="rect"/>
                  </pic:spPr>
                </pic:pic>
              </a:graphicData>
            </a:graphic>
          </wp:inline>
        </w:drawing>
      </w:r>
    </w:p>
    <w:p>
      <w:pPr>
        <w:pStyle w:val="style179"/>
        <w:ind w:left="360"/>
        <w:jc w:val="center"/>
        <w:rPr>
          <w:rFonts w:ascii="Arial" w:cs="Arial" w:hAnsi="Arial"/>
          <w:sz w:val="24"/>
          <w:szCs w:val="24"/>
        </w:rPr>
      </w:pPr>
    </w:p>
    <w:p>
      <w:pPr>
        <w:pStyle w:val="style179"/>
        <w:ind w:left="360"/>
        <w:jc w:val="center"/>
        <w:rPr>
          <w:rFonts w:ascii="Arial" w:cs="Arial" w:hAnsi="Arial"/>
          <w:sz w:val="24"/>
          <w:szCs w:val="24"/>
        </w:rPr>
      </w:pPr>
    </w:p>
    <w:p>
      <w:pPr>
        <w:pStyle w:val="style179"/>
        <w:ind w:left="360"/>
        <w:jc w:val="center"/>
        <w:rPr>
          <w:rFonts w:ascii="Arial" w:cs="Arial" w:hAnsi="Arial"/>
          <w:sz w:val="24"/>
          <w:szCs w:val="24"/>
        </w:rPr>
      </w:pPr>
    </w:p>
    <w:p>
      <w:pPr>
        <w:pStyle w:val="style179"/>
        <w:numPr>
          <w:ilvl w:val="0"/>
          <w:numId w:val="13"/>
        </w:numPr>
        <w:ind w:left="360"/>
        <w:jc w:val="both"/>
        <w:rPr>
          <w:rFonts w:ascii="Arial" w:cs="Arial" w:hAnsi="Arial"/>
          <w:sz w:val="24"/>
          <w:szCs w:val="24"/>
        </w:rPr>
      </w:pPr>
      <w:r>
        <w:rPr>
          <w:rFonts w:ascii="Arial" w:cs="Arial" w:hAnsi="Arial"/>
          <w:sz w:val="24"/>
          <w:szCs w:val="24"/>
        </w:rPr>
        <w:t>¿Cuál es la correlación entre peso bruto y valor FOB</w:t>
      </w:r>
    </w:p>
    <w:p>
      <w:pPr>
        <w:pStyle w:val="style0"/>
        <w:ind w:left="360"/>
        <w:jc w:val="both"/>
        <w:rPr>
          <w:rFonts w:ascii="Arial" w:cs="Arial" w:hAnsi="Arial"/>
          <w:sz w:val="24"/>
          <w:szCs w:val="24"/>
        </w:rPr>
      </w:pPr>
      <w:r>
        <w:rPr>
          <w:rFonts w:ascii="Arial" w:cs="Arial" w:hAnsi="Arial"/>
          <w:sz w:val="24"/>
          <w:szCs w:val="24"/>
        </w:rPr>
        <w:t>Para analizar esto saque una regresión lineal con las variables, buscando ver si había una relación entre el peso bruto y el valor FOB que se tuvo que pagar en la exportación. En la siguiente grafica podemos ver la regresión</w:t>
      </w:r>
    </w:p>
    <w:p>
      <w:pPr>
        <w:pStyle w:val="style179"/>
        <w:jc w:val="both"/>
        <w:rPr>
          <w:rFonts w:ascii="Arial" w:cs="Arial" w:hAnsi="Arial"/>
          <w:sz w:val="24"/>
          <w:szCs w:val="24"/>
        </w:rPr>
      </w:pPr>
      <w:r>
        <w:rPr>
          <w:noProof/>
        </w:rPr>
      </w:r>
      <w:r>
        <w:rPr>
          <w:noProof/>
        </w:rPr>
      </w:r>
      <w:r>
        <w:rPr>
          <w:noProof/>
        </w:rPr>
      </w:r>
      <w:r>
        <w:rPr>
          <w:noProof/>
        </w:rPr>
        <w:drawing>
          <wp:inline distL="114300" distT="0" distB="0" distR="114300">
            <wp:extent cx="4572000" cy="2743200"/>
            <wp:effectExtent l="0" t="0" r="0" b="0"/>
            <wp:docPr id="108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Pr>
          <w:noProof/>
        </w:rPr>
      </w:r>
    </w:p>
    <w:p>
      <w:pPr>
        <w:pStyle w:val="style179"/>
        <w:ind w:left="0"/>
        <w:jc w:val="both"/>
        <w:rPr>
          <w:rFonts w:ascii="Arial" w:cs="Arial" w:hAnsi="Arial"/>
          <w:sz w:val="24"/>
          <w:szCs w:val="24"/>
        </w:rPr>
      </w:pPr>
    </w:p>
    <w:p>
      <w:pPr>
        <w:pStyle w:val="style179"/>
        <w:ind w:left="0"/>
        <w:jc w:val="both"/>
        <w:rPr>
          <w:rFonts w:ascii="Arial" w:cs="Arial" w:hAnsi="Arial"/>
          <w:sz w:val="24"/>
          <w:szCs w:val="24"/>
        </w:rPr>
      </w:pPr>
    </w:p>
    <w:p>
      <w:pPr>
        <w:pStyle w:val="style179"/>
        <w:ind w:left="0"/>
        <w:jc w:val="both"/>
        <w:rPr>
          <w:rFonts w:ascii="Arial" w:cs="Arial" w:hAnsi="Arial"/>
          <w:sz w:val="24"/>
          <w:szCs w:val="24"/>
        </w:rPr>
      </w:pPr>
      <w:r>
        <w:rPr>
          <w:rFonts w:ascii="Arial" w:cs="Arial" w:hAnsi="Arial"/>
          <w:sz w:val="24"/>
          <w:szCs w:val="24"/>
        </w:rPr>
        <w:t>Formula de regresión lineal:</w:t>
      </w:r>
    </w:p>
    <w:p>
      <w:pPr>
        <w:pStyle w:val="style179"/>
        <w:jc w:val="center"/>
        <w:rPr>
          <w:rFonts w:ascii="Cambria Math" w:cs="Arial" w:hAnsi="Cambria Math"/>
          <w:sz w:val="28"/>
          <w:szCs w:val="24"/>
        </w:rPr>
      </w:pPr>
      <w:r>
        <w:rPr>
          <w:rFonts w:ascii="Cambria Math" w:cs="Arial" w:hAnsi="Cambria Math"/>
          <w:sz w:val="28"/>
          <w:szCs w:val="24"/>
          <w:lang w:val="en-US"/>
        </w:rPr>
        <w:t>y = 0.0106x + 155.23</w:t>
      </w:r>
    </w:p>
    <w:p>
      <w:pPr>
        <w:pStyle w:val="style179"/>
        <w:ind w:left="0"/>
        <w:jc w:val="both"/>
        <w:rPr>
          <w:rFonts w:ascii="Arial" w:cs="Arial" w:hAnsi="Arial"/>
          <w:sz w:val="24"/>
          <w:szCs w:val="24"/>
        </w:rPr>
      </w:pPr>
      <w:r>
        <w:rPr>
          <w:rFonts w:ascii="Arial" w:cs="Arial" w:hAnsi="Arial"/>
          <w:sz w:val="24"/>
          <w:szCs w:val="24"/>
        </w:rPr>
        <w:t>A continuación conseguimos los intervalos de confianza al 95% para la intercepción y la variable x1</w:t>
      </w:r>
    </w:p>
    <w:p>
      <w:pPr>
        <w:pStyle w:val="style179"/>
        <w:jc w:val="center"/>
        <w:rPr>
          <w:rFonts w:ascii="Arial" w:cs="Arial" w:hAnsi="Arial"/>
          <w:sz w:val="24"/>
          <w:szCs w:val="24"/>
        </w:rPr>
      </w:pPr>
      <w:r>
        <w:rPr>
          <w:rFonts w:ascii="Arial" w:cs="Arial" w:hAnsi="Arial"/>
          <w:noProof/>
          <w:sz w:val="24"/>
          <w:szCs w:val="24"/>
        </w:rPr>
        <w:object>
          <v:shape id="1087" type="#_x0000_t75" filled="f" stroked="f" alt="Tabla&#10;&#10;Descripción generada automáticamente" style="margin-left:0.0pt;margin-top:0.0pt;width:231.0pt;height:114.42pt;mso-wrap-distance-left:0.0pt;mso-wrap-distance-right:0.0pt;visibility:visible;">
            <w10:anchorlock/>
            <v:imagedata r:id="rId40" embosscolor="white" o:title=""/>
            <v:fill/>
          </v:shape>
          <o:OLEObject Type="EMBED" ProgID="Excel.Chart.8" ShapeID="1087" DrawAspect="Content" ObjectID="0" r:id="rId41"/>
        </w:object>
      </w:r>
    </w:p>
    <w:p>
      <w:pPr>
        <w:pStyle w:val="style0"/>
        <w:jc w:val="both"/>
        <w:rPr>
          <w:rFonts w:ascii="Arial" w:cs="Arial" w:hAnsi="Arial"/>
          <w:sz w:val="24"/>
          <w:szCs w:val="24"/>
        </w:rPr>
      </w:pPr>
      <w:r>
        <w:rPr>
          <w:rFonts w:ascii="Arial" w:cs="Arial" w:hAnsi="Arial"/>
          <w:sz w:val="24"/>
          <w:szCs w:val="24"/>
        </w:rPr>
        <w:t>El intervalo de confianza al 95% para la intercepción (β0) y el coeficiente de x1 (β1) nos indica que, si tomamos muchas muestras diferentes y calculamos el intervalo de confianza para cada muestra, aproximadamente el 95% de esos intervalos contendrían los verdaderos valores poblacionales de la intercepción y el coeficiente de x1.</w:t>
      </w:r>
    </w:p>
    <w:p>
      <w:pPr>
        <w:pStyle w:val="style0"/>
        <w:rPr>
          <w:rFonts w:ascii="Arial" w:cs="Arial" w:hAnsi="Arial"/>
          <w:sz w:val="24"/>
          <w:szCs w:val="24"/>
        </w:rPr>
      </w:pPr>
    </w:p>
    <w:p>
      <w:pPr>
        <w:pStyle w:val="style179"/>
        <w:ind w:left="12"/>
        <w:jc w:val="both"/>
        <w:rPr>
          <w:rFonts w:ascii="Arial" w:cs="Arial" w:hAnsi="Arial"/>
          <w:sz w:val="24"/>
          <w:szCs w:val="24"/>
        </w:rPr>
      </w:pPr>
      <w:r>
        <w:rPr>
          <w:rFonts w:ascii="Arial" w:cs="Arial" w:hAnsi="Arial"/>
          <w:sz w:val="24"/>
          <w:szCs w:val="24"/>
        </w:rPr>
        <w:t>En la siguiente tabla, podemos observar ver como el R^2 se encuentra muy lejos de 1, lo que nos confirma el análisis de que no existe una relación muy fuerte entre las variables</w:t>
      </w:r>
    </w:p>
    <w:p>
      <w:pPr>
        <w:pStyle w:val="style179"/>
        <w:jc w:val="center"/>
        <w:rPr>
          <w:rFonts w:ascii="Arial" w:cs="Arial" w:hAnsi="Arial"/>
          <w:sz w:val="24"/>
          <w:szCs w:val="24"/>
        </w:rPr>
      </w:pPr>
      <w:r>
        <w:rPr>
          <w:rFonts w:ascii="Arial" w:cs="Arial" w:hAnsi="Arial"/>
          <w:noProof/>
          <w:sz w:val="24"/>
          <w:szCs w:val="24"/>
        </w:rPr>
        <w:drawing>
          <wp:inline distL="0" distT="0" distB="0" distR="0">
            <wp:extent cx="4754880" cy="1299280"/>
            <wp:effectExtent l="0" t="0" r="7620" b="0"/>
            <wp:docPr id="1088" name="Imagen 496889469" descr="Tabla&#10;&#10;Descripción generada automáticament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n 496889469"/>
                    <pic:cNvPicPr/>
                  </pic:nvPicPr>
                  <pic:blipFill>
                    <a:blip r:embed="rId42" cstate="print"/>
                    <a:srcRect l="0" t="0" r="0" b="0"/>
                    <a:stretch/>
                  </pic:blipFill>
                  <pic:spPr>
                    <a:xfrm rot="0">
                      <a:off x="0" y="0"/>
                      <a:ext cx="4754880" cy="1299280"/>
                    </a:xfrm>
                    <a:prstGeom prst="rect"/>
                  </pic:spPr>
                </pic:pic>
              </a:graphicData>
            </a:graphic>
          </wp:inline>
        </w:drawing>
      </w:r>
    </w:p>
    <w:p>
      <w:pPr>
        <w:pStyle w:val="style179"/>
        <w:jc w:val="both"/>
        <w:rPr>
          <w:rFonts w:ascii="Arial" w:cs="Arial" w:hAnsi="Arial"/>
          <w:sz w:val="24"/>
          <w:szCs w:val="24"/>
        </w:rPr>
      </w:pPr>
    </w:p>
    <w:p>
      <w:pPr>
        <w:pStyle w:val="style0"/>
        <w:jc w:val="both"/>
        <w:rPr>
          <w:rFonts w:ascii="Arial" w:cs="Arial" w:hAnsi="Arial"/>
          <w:sz w:val="24"/>
          <w:szCs w:val="24"/>
        </w:rPr>
      </w:pPr>
      <w:r>
        <w:rPr>
          <w:rFonts w:ascii="Arial" w:cs="Arial" w:hAnsi="Arial"/>
          <w:sz w:val="24"/>
          <w:szCs w:val="24"/>
        </w:rPr>
        <w:t>A continuación formulamos nuestras hipótesis</w:t>
      </w:r>
    </w:p>
    <w:p>
      <w:pPr>
        <w:pStyle w:val="style0"/>
        <w:jc w:val="both"/>
        <w:rPr>
          <w:rFonts w:ascii="Arial" w:cs="Arial" w:hAnsi="Arial"/>
          <w:sz w:val="24"/>
          <w:szCs w:val="24"/>
        </w:rPr>
      </w:pPr>
      <w:r>
        <w:rPr>
          <w:rFonts w:ascii="Arial" w:cs="Arial" w:hAnsi="Arial"/>
          <w:sz w:val="24"/>
          <w:szCs w:val="24"/>
        </w:rPr>
        <w:t>Hipótesis nula (H0):</w:t>
      </w:r>
    </w:p>
    <w:p>
      <w:pPr>
        <w:pStyle w:val="style0"/>
        <w:jc w:val="both"/>
        <w:rPr>
          <w:rFonts w:ascii="Arial" w:cs="Arial" w:hAnsi="Arial"/>
          <w:sz w:val="24"/>
          <w:szCs w:val="24"/>
        </w:rPr>
      </w:pPr>
      <w:r>
        <w:rPr>
          <w:rFonts w:ascii="Arial" w:cs="Arial" w:hAnsi="Arial"/>
          <w:sz w:val="24"/>
          <w:szCs w:val="24"/>
        </w:rPr>
        <w:t>No hay relación significativa entre el peso y el valor FOB. En términos de coeficientes de r</w:t>
      </w:r>
      <w:r>
        <w:rPr>
          <w:rFonts w:ascii="Arial" w:cs="Arial" w:hAnsi="Arial"/>
          <w:sz w:val="24"/>
          <w:szCs w:val="24"/>
        </w:rPr>
        <w:t>egresión</w:t>
      </w:r>
      <w:r>
        <w:rPr>
          <w:rFonts w:ascii="Arial" w:cs="Arial" w:hAnsi="Arial"/>
          <w:sz w:val="24"/>
          <w:szCs w:val="24"/>
        </w:rPr>
        <w:t>:</w:t>
      </w:r>
    </w:p>
    <w:p>
      <w:pPr>
        <w:pStyle w:val="style0"/>
        <w:jc w:val="both"/>
        <w:rPr>
          <w:rFonts w:ascii="Arial" w:cs="Arial" w:hAnsi="Arial"/>
          <w:sz w:val="24"/>
          <w:szCs w:val="24"/>
        </w:rPr>
      </w:pPr>
      <w:r>
        <w:rPr>
          <w:rFonts w:ascii="Arial" w:cs="Arial" w:hAnsi="Arial"/>
          <w:sz w:val="24"/>
          <w:szCs w:val="24"/>
        </w:rPr>
        <w:t>H0: El coeficiente de la variab</w:t>
      </w:r>
      <w:r>
        <w:rPr>
          <w:rFonts w:ascii="Arial" w:cs="Arial" w:hAnsi="Arial"/>
          <w:sz w:val="24"/>
          <w:szCs w:val="24"/>
        </w:rPr>
        <w:t>le "peso" (β1) es igual a cero.</w:t>
      </w:r>
    </w:p>
    <w:p>
      <w:pPr>
        <w:pStyle w:val="style0"/>
        <w:jc w:val="both"/>
        <w:rPr>
          <w:rFonts w:ascii="Arial" w:cs="Arial" w:hAnsi="Arial"/>
          <w:sz w:val="24"/>
          <w:szCs w:val="24"/>
        </w:rPr>
      </w:pPr>
      <w:r>
        <w:rPr>
          <w:rFonts w:ascii="Arial" w:cs="Arial" w:hAnsi="Arial"/>
          <w:sz w:val="24"/>
          <w:szCs w:val="24"/>
        </w:rPr>
        <w:t>Esto significa que la variable "peso" no tiene un efecto significativo sobre el "valor FOB" y que cualquier variación en el valor FOB n</w:t>
      </w:r>
      <w:r>
        <w:rPr>
          <w:rFonts w:ascii="Arial" w:cs="Arial" w:hAnsi="Arial"/>
          <w:sz w:val="24"/>
          <w:szCs w:val="24"/>
        </w:rPr>
        <w:t>o se debe a cambios en el peso.</w:t>
      </w:r>
    </w:p>
    <w:p>
      <w:pPr>
        <w:pStyle w:val="style0"/>
        <w:jc w:val="both"/>
        <w:rPr>
          <w:rFonts w:ascii="Arial" w:cs="Arial" w:hAnsi="Arial"/>
          <w:sz w:val="24"/>
          <w:szCs w:val="24"/>
        </w:rPr>
      </w:pPr>
    </w:p>
    <w:p>
      <w:pPr>
        <w:pStyle w:val="style0"/>
        <w:jc w:val="both"/>
        <w:rPr>
          <w:rFonts w:ascii="Arial" w:cs="Arial" w:hAnsi="Arial"/>
          <w:sz w:val="24"/>
          <w:szCs w:val="24"/>
        </w:rPr>
      </w:pPr>
      <w:r>
        <w:rPr>
          <w:rFonts w:ascii="Arial" w:cs="Arial" w:hAnsi="Arial"/>
          <w:sz w:val="24"/>
          <w:szCs w:val="24"/>
        </w:rPr>
        <w:t>Hipótesis alternativa (H1</w:t>
      </w:r>
      <w:r>
        <w:rPr>
          <w:rFonts w:ascii="Arial" w:cs="Arial" w:hAnsi="Arial"/>
          <w:sz w:val="24"/>
          <w:szCs w:val="24"/>
        </w:rPr>
        <w:t>):</w:t>
      </w:r>
    </w:p>
    <w:p>
      <w:pPr>
        <w:pStyle w:val="style0"/>
        <w:jc w:val="both"/>
        <w:rPr>
          <w:rFonts w:ascii="Arial" w:cs="Arial" w:hAnsi="Arial"/>
          <w:sz w:val="24"/>
          <w:szCs w:val="24"/>
        </w:rPr>
      </w:pPr>
      <w:r>
        <w:rPr>
          <w:rFonts w:ascii="Arial" w:cs="Arial" w:hAnsi="Arial"/>
          <w:sz w:val="24"/>
          <w:szCs w:val="24"/>
        </w:rPr>
        <w:t>Existe una relación significativa entre el peso y el valor FOB. En términos de coeficientes de r</w:t>
      </w:r>
      <w:r>
        <w:rPr>
          <w:rFonts w:ascii="Arial" w:cs="Arial" w:hAnsi="Arial"/>
          <w:sz w:val="24"/>
          <w:szCs w:val="24"/>
        </w:rPr>
        <w:t>egresión:</w:t>
      </w:r>
    </w:p>
    <w:p>
      <w:pPr>
        <w:pStyle w:val="style0"/>
        <w:jc w:val="both"/>
        <w:rPr>
          <w:rFonts w:ascii="Arial" w:cs="Arial" w:hAnsi="Arial"/>
          <w:sz w:val="24"/>
          <w:szCs w:val="24"/>
        </w:rPr>
      </w:pPr>
      <w:r>
        <w:rPr>
          <w:rFonts w:ascii="Arial" w:cs="Arial" w:hAnsi="Arial"/>
          <w:sz w:val="24"/>
          <w:szCs w:val="24"/>
        </w:rPr>
        <w:t>Ha: El coeficiente de la variable "p</w:t>
      </w:r>
      <w:r>
        <w:rPr>
          <w:rFonts w:ascii="Arial" w:cs="Arial" w:hAnsi="Arial"/>
          <w:sz w:val="24"/>
          <w:szCs w:val="24"/>
        </w:rPr>
        <w:t>eso" (β1) es diferente de cero.</w:t>
      </w:r>
    </w:p>
    <w:p>
      <w:pPr>
        <w:pStyle w:val="style0"/>
        <w:jc w:val="both"/>
        <w:rPr>
          <w:rFonts w:ascii="Arial" w:cs="Arial" w:hAnsi="Arial"/>
          <w:sz w:val="24"/>
          <w:szCs w:val="24"/>
        </w:rPr>
      </w:pPr>
      <w:r>
        <w:rPr>
          <w:rFonts w:ascii="Arial" w:cs="Arial" w:hAnsi="Arial"/>
          <w:sz w:val="24"/>
          <w:szCs w:val="24"/>
        </w:rPr>
        <w:t>Esto sugiere que el peso sí tiene un efecto significativo sobre el "valor FOB" y que cambios en el peso están relacionados con variaciones en el valor FOB.</w:t>
      </w:r>
    </w:p>
    <w:p>
      <w:pPr>
        <w:pStyle w:val="style0"/>
        <w:jc w:val="both"/>
        <w:rPr>
          <w:rFonts w:ascii="Arial" w:cs="Arial" w:hAnsi="Arial"/>
          <w:sz w:val="24"/>
          <w:szCs w:val="24"/>
        </w:rPr>
      </w:pPr>
    </w:p>
    <w:p>
      <w:pPr>
        <w:pStyle w:val="style0"/>
        <w:jc w:val="both"/>
        <w:rPr>
          <w:rFonts w:ascii="Arial" w:cs="Arial" w:hAnsi="Arial"/>
          <w:sz w:val="24"/>
          <w:szCs w:val="24"/>
        </w:rPr>
      </w:pPr>
      <w:r>
        <w:rPr>
          <w:rFonts w:ascii="Arial" w:cs="Arial" w:hAnsi="Arial"/>
          <w:sz w:val="24"/>
          <w:szCs w:val="24"/>
        </w:rPr>
        <w:t>Realizamos la prueba de F con los datos de la tabla ANOVA para comprobar la hipótesis nula</w:t>
      </w:r>
    </w:p>
    <w:p>
      <w:pPr>
        <w:pStyle w:val="style179"/>
        <w:jc w:val="both"/>
        <w:rPr>
          <w:rFonts w:ascii="Arial" w:cs="Arial" w:hAnsi="Arial"/>
          <w:sz w:val="24"/>
          <w:szCs w:val="24"/>
        </w:rPr>
      </w:pPr>
    </w:p>
    <w:p>
      <w:pPr>
        <w:pStyle w:val="style179"/>
        <w:jc w:val="center"/>
        <w:rPr>
          <w:rFonts w:ascii="Arial" w:cs="Arial" w:hAnsi="Arial"/>
          <w:sz w:val="24"/>
          <w:szCs w:val="24"/>
        </w:rPr>
      </w:pPr>
      <w:r>
        <w:rPr>
          <w:rFonts w:ascii="Arial" w:cs="Arial" w:hAnsi="Arial"/>
          <w:noProof/>
          <w:sz w:val="24"/>
          <w:szCs w:val="24"/>
        </w:rPr>
        <w:drawing>
          <wp:inline distL="0" distT="0" distB="0" distR="0">
            <wp:extent cx="5947410" cy="610353"/>
            <wp:effectExtent l="0" t="0" r="0" b="0"/>
            <wp:docPr id="1089" name="Imagen 19806355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n 1980635529"/>
                    <pic:cNvPicPr/>
                  </pic:nvPicPr>
                  <pic:blipFill>
                    <a:blip r:embed="rId43" cstate="print"/>
                    <a:srcRect l="0" t="0" r="0" b="0"/>
                    <a:stretch/>
                  </pic:blipFill>
                  <pic:spPr>
                    <a:xfrm rot="0">
                      <a:off x="0" y="0"/>
                      <a:ext cx="5947410" cy="610353"/>
                    </a:xfrm>
                    <a:prstGeom prst="rect"/>
                  </pic:spPr>
                </pic:pic>
              </a:graphicData>
            </a:graphic>
          </wp:inline>
        </w:drawing>
      </w:r>
    </w:p>
    <w:p>
      <w:pPr>
        <w:pStyle w:val="style179"/>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sz w:val="24"/>
          <w:szCs w:val="24"/>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179"/>
        <w:jc w:val="both"/>
        <w:rPr>
          <w:rFonts w:ascii="Arial" w:cs="Arial" w:hAnsi="Arial"/>
          <w:sz w:val="24"/>
          <w:szCs w:val="24"/>
        </w:rPr>
      </w:pPr>
    </w:p>
    <w:p>
      <w:pPr>
        <w:pStyle w:val="style179"/>
        <w:jc w:val="center"/>
        <w:rPr>
          <w:rFonts w:ascii="Arial" w:cs="Arial" w:hAnsi="Arial"/>
          <w:sz w:val="28"/>
          <w:szCs w:val="28"/>
        </w:rPr>
      </w:pPr>
      <w:r>
        <w:rPr>
          <w:rFonts w:ascii="Arial" w:cs="Arial" w:hAnsi="Arial"/>
          <w:sz w:val="28"/>
          <w:szCs w:val="28"/>
        </w:rPr>
        <w:t xml:space="preserve">Base de datos de exportaciones de Manufactura de </w:t>
      </w:r>
      <w:r>
        <w:rPr>
          <w:rFonts w:ascii="Arial" w:cs="Arial" w:hAnsi="Arial"/>
          <w:sz w:val="28"/>
          <w:szCs w:val="28"/>
        </w:rPr>
        <w:t>Alambres</w:t>
      </w:r>
    </w:p>
    <w:p>
      <w:pPr>
        <w:pStyle w:val="style179"/>
        <w:rPr>
          <w:rFonts w:ascii="Arial" w:cs="Arial" w:hAnsi="Arial"/>
          <w:sz w:val="28"/>
          <w:szCs w:val="28"/>
        </w:rPr>
      </w:pPr>
    </w:p>
    <w:p>
      <w:pPr>
        <w:pStyle w:val="style179"/>
        <w:ind w:left="0"/>
        <w:jc w:val="both"/>
        <w:rPr>
          <w:rFonts w:ascii="Arial" w:cs="Arial" w:hAnsi="Arial"/>
          <w:sz w:val="24"/>
          <w:szCs w:val="24"/>
        </w:rPr>
      </w:pPr>
      <w:r>
        <w:rPr>
          <w:rFonts w:ascii="Arial" w:cs="Arial" w:hAnsi="Arial"/>
          <w:sz w:val="24"/>
          <w:szCs w:val="24"/>
        </w:rPr>
        <w:t xml:space="preserve">Esta base de datos posee información de las exportaciones de manufactura de piedra realizadas por diversas zonas francas de Panamá. </w:t>
      </w:r>
    </w:p>
    <w:p>
      <w:pPr>
        <w:pStyle w:val="style179"/>
        <w:ind w:left="0"/>
        <w:jc w:val="both"/>
        <w:rPr>
          <w:rFonts w:ascii="Arial" w:cs="Arial" w:hAnsi="Arial"/>
          <w:sz w:val="24"/>
          <w:szCs w:val="24"/>
        </w:rPr>
      </w:pPr>
    </w:p>
    <w:p>
      <w:pPr>
        <w:pStyle w:val="style179"/>
        <w:ind w:left="0"/>
        <w:jc w:val="both"/>
        <w:rPr>
          <w:rFonts w:ascii="Arial" w:cs="Arial" w:hAnsi="Arial"/>
          <w:sz w:val="24"/>
          <w:szCs w:val="24"/>
        </w:rPr>
      </w:pPr>
      <w:r>
        <w:rPr>
          <w:rFonts w:ascii="Arial" w:cs="Arial" w:hAnsi="Arial"/>
          <w:sz w:val="24"/>
          <w:szCs w:val="24"/>
        </w:rPr>
        <w:t>Específicamente la manufactura de</w:t>
      </w:r>
      <w:r>
        <w:rPr>
          <w:rFonts w:ascii="Arial" w:cs="Arial" w:hAnsi="Arial"/>
          <w:sz w:val="24"/>
          <w:szCs w:val="24"/>
        </w:rPr>
        <w:t xml:space="preserve"> alambres</w:t>
      </w:r>
      <w:r>
        <w:rPr>
          <w:rFonts w:ascii="Arial" w:cs="Arial" w:hAnsi="Arial"/>
          <w:sz w:val="24"/>
          <w:szCs w:val="24"/>
        </w:rPr>
        <w:t xml:space="preserve"> que puede ser </w:t>
      </w:r>
      <w:r>
        <w:rPr>
          <w:rFonts w:ascii="Arial" w:cs="Arial" w:hAnsi="Arial"/>
          <w:sz w:val="24"/>
          <w:szCs w:val="24"/>
        </w:rPr>
        <w:t>de Hierro o Acero</w:t>
      </w:r>
    </w:p>
    <w:p>
      <w:pPr>
        <w:pStyle w:val="style179"/>
        <w:ind w:left="0"/>
        <w:jc w:val="both"/>
        <w:rPr>
          <w:rFonts w:ascii="Arial" w:cs="Arial" w:hAnsi="Arial"/>
          <w:sz w:val="24"/>
          <w:szCs w:val="24"/>
        </w:rPr>
      </w:pPr>
    </w:p>
    <w:p>
      <w:pPr>
        <w:pStyle w:val="style179"/>
        <w:ind w:left="0"/>
        <w:jc w:val="both"/>
        <w:rPr>
          <w:rFonts w:ascii="Arial" w:cs="Arial" w:hAnsi="Arial"/>
          <w:sz w:val="24"/>
          <w:szCs w:val="24"/>
        </w:rPr>
      </w:pPr>
      <w:r>
        <w:rPr>
          <w:rFonts w:ascii="Arial" w:cs="Arial" w:hAnsi="Arial"/>
          <w:sz w:val="24"/>
          <w:szCs w:val="24"/>
        </w:rPr>
        <w:t>La tabla posee los siguientes atributos:</w:t>
      </w:r>
    </w:p>
    <w:p>
      <w:pPr>
        <w:pStyle w:val="style179"/>
        <w:numPr>
          <w:ilvl w:val="0"/>
          <w:numId w:val="11"/>
        </w:numPr>
        <w:ind w:left="720"/>
        <w:jc w:val="both"/>
        <w:rPr>
          <w:rFonts w:ascii="Arial" w:cs="Arial" w:hAnsi="Arial"/>
          <w:sz w:val="24"/>
          <w:szCs w:val="24"/>
        </w:rPr>
      </w:pPr>
      <w:r>
        <w:rPr>
          <w:rFonts w:ascii="Arial" w:cs="Arial" w:hAnsi="Arial"/>
          <w:sz w:val="24"/>
          <w:szCs w:val="24"/>
        </w:rPr>
        <w:t>Año: categórico</w:t>
      </w:r>
    </w:p>
    <w:p>
      <w:pPr>
        <w:pStyle w:val="style179"/>
        <w:numPr>
          <w:ilvl w:val="0"/>
          <w:numId w:val="11"/>
        </w:numPr>
        <w:ind w:left="720"/>
        <w:jc w:val="both"/>
        <w:rPr>
          <w:rFonts w:ascii="Arial" w:cs="Arial" w:hAnsi="Arial"/>
          <w:sz w:val="24"/>
          <w:szCs w:val="24"/>
        </w:rPr>
      </w:pPr>
      <w:r>
        <w:rPr>
          <w:rFonts w:ascii="Arial" w:cs="Arial" w:hAnsi="Arial"/>
          <w:sz w:val="24"/>
          <w:szCs w:val="24"/>
        </w:rPr>
        <w:t>Continente: dato categórico</w:t>
      </w:r>
    </w:p>
    <w:p>
      <w:pPr>
        <w:pStyle w:val="style179"/>
        <w:numPr>
          <w:ilvl w:val="0"/>
          <w:numId w:val="11"/>
        </w:numPr>
        <w:ind w:left="720"/>
        <w:jc w:val="both"/>
        <w:rPr>
          <w:rFonts w:ascii="Arial" w:cs="Arial" w:hAnsi="Arial"/>
          <w:sz w:val="24"/>
          <w:szCs w:val="24"/>
        </w:rPr>
      </w:pPr>
      <w:r>
        <w:rPr>
          <w:rFonts w:ascii="Arial" w:cs="Arial" w:hAnsi="Arial"/>
          <w:sz w:val="24"/>
          <w:szCs w:val="24"/>
        </w:rPr>
        <w:t>Mes: categórico</w:t>
      </w:r>
    </w:p>
    <w:p>
      <w:pPr>
        <w:pStyle w:val="style179"/>
        <w:numPr>
          <w:ilvl w:val="0"/>
          <w:numId w:val="11"/>
        </w:numPr>
        <w:ind w:left="720"/>
        <w:jc w:val="both"/>
        <w:rPr>
          <w:rFonts w:ascii="Arial" w:cs="Arial" w:hAnsi="Arial"/>
          <w:sz w:val="24"/>
          <w:szCs w:val="24"/>
        </w:rPr>
      </w:pPr>
      <w:r>
        <w:rPr>
          <w:rFonts w:ascii="Arial" w:cs="Arial" w:hAnsi="Arial"/>
          <w:sz w:val="24"/>
          <w:szCs w:val="24"/>
        </w:rPr>
        <w:t>Puerto de embarque: dato categórico</w:t>
      </w:r>
    </w:p>
    <w:p>
      <w:pPr>
        <w:pStyle w:val="style179"/>
        <w:numPr>
          <w:ilvl w:val="0"/>
          <w:numId w:val="11"/>
        </w:numPr>
        <w:ind w:left="720"/>
        <w:jc w:val="both"/>
        <w:rPr>
          <w:rFonts w:ascii="Arial" w:cs="Arial" w:hAnsi="Arial"/>
          <w:sz w:val="24"/>
          <w:szCs w:val="24"/>
        </w:rPr>
      </w:pPr>
      <w:r>
        <w:rPr>
          <w:rFonts w:ascii="Arial" w:cs="Arial" w:hAnsi="Arial"/>
          <w:sz w:val="24"/>
          <w:szCs w:val="24"/>
        </w:rPr>
        <w:t>Zonas francas: dato  categórico</w:t>
      </w:r>
    </w:p>
    <w:p>
      <w:pPr>
        <w:pStyle w:val="style179"/>
        <w:numPr>
          <w:ilvl w:val="0"/>
          <w:numId w:val="11"/>
        </w:numPr>
        <w:ind w:left="720"/>
        <w:jc w:val="both"/>
        <w:rPr>
          <w:rFonts w:ascii="Arial" w:cs="Arial" w:hAnsi="Arial"/>
          <w:sz w:val="24"/>
          <w:szCs w:val="24"/>
        </w:rPr>
      </w:pPr>
      <w:r>
        <w:rPr>
          <w:rFonts w:ascii="Arial" w:cs="Arial" w:hAnsi="Arial"/>
          <w:sz w:val="24"/>
          <w:szCs w:val="24"/>
        </w:rPr>
        <w:t>Arancel: dato categórico</w:t>
      </w:r>
    </w:p>
    <w:p>
      <w:pPr>
        <w:pStyle w:val="style179"/>
        <w:numPr>
          <w:ilvl w:val="0"/>
          <w:numId w:val="11"/>
        </w:numPr>
        <w:ind w:left="720"/>
        <w:jc w:val="both"/>
        <w:rPr>
          <w:rFonts w:ascii="Arial" w:cs="Arial" w:hAnsi="Arial"/>
          <w:sz w:val="24"/>
          <w:szCs w:val="24"/>
        </w:rPr>
      </w:pPr>
      <w:r>
        <w:rPr>
          <w:rFonts w:ascii="Arial" w:cs="Arial" w:hAnsi="Arial"/>
          <w:sz w:val="24"/>
          <w:szCs w:val="24"/>
        </w:rPr>
        <w:t>Valor FOB: dato numérico</w:t>
      </w:r>
    </w:p>
    <w:p>
      <w:pPr>
        <w:pStyle w:val="style179"/>
        <w:numPr>
          <w:ilvl w:val="0"/>
          <w:numId w:val="11"/>
        </w:numPr>
        <w:ind w:left="720"/>
        <w:jc w:val="both"/>
        <w:rPr>
          <w:rFonts w:ascii="Arial" w:cs="Arial" w:hAnsi="Arial"/>
          <w:sz w:val="24"/>
          <w:szCs w:val="24"/>
        </w:rPr>
      </w:pPr>
      <w:r>
        <w:rPr>
          <w:rFonts w:ascii="Arial" w:cs="Arial" w:hAnsi="Arial"/>
          <w:sz w:val="24"/>
          <w:szCs w:val="24"/>
        </w:rPr>
        <w:t>Peso Neto: dato numérico</w:t>
      </w:r>
    </w:p>
    <w:p>
      <w:pPr>
        <w:pStyle w:val="style0"/>
        <w:jc w:val="both"/>
        <w:rPr>
          <w:rFonts w:ascii="Arial" w:cs="Arial" w:hAnsi="Arial"/>
          <w:sz w:val="24"/>
          <w:szCs w:val="24"/>
        </w:rPr>
      </w:pPr>
      <w:r>
        <w:rPr>
          <w:rFonts w:ascii="Arial" w:cs="Arial" w:hAnsi="Arial"/>
          <w:sz w:val="24"/>
          <w:szCs w:val="24"/>
        </w:rPr>
        <w:t>Análisis</w:t>
      </w:r>
    </w:p>
    <w:p>
      <w:pPr>
        <w:pStyle w:val="style179"/>
        <w:numPr>
          <w:ilvl w:val="0"/>
          <w:numId w:val="14"/>
        </w:numPr>
        <w:jc w:val="both"/>
        <w:rPr>
          <w:rFonts w:ascii="Arial" w:cs="Arial" w:hAnsi="Arial"/>
          <w:sz w:val="24"/>
          <w:szCs w:val="24"/>
        </w:rPr>
      </w:pPr>
      <w:r>
        <w:rPr>
          <w:rFonts w:ascii="Arial" w:cs="Arial" w:hAnsi="Arial"/>
          <w:sz w:val="24"/>
          <w:szCs w:val="24"/>
        </w:rPr>
        <w:t xml:space="preserve">¿Qué zona franca exporta la mayor cantidad de peso </w:t>
      </w:r>
      <w:r>
        <w:rPr>
          <w:rFonts w:ascii="Arial" w:cs="Arial" w:hAnsi="Arial"/>
          <w:sz w:val="24"/>
          <w:szCs w:val="24"/>
        </w:rPr>
        <w:t>neto</w:t>
      </w:r>
      <w:r>
        <w:rPr>
          <w:rFonts w:ascii="Arial" w:cs="Arial" w:hAnsi="Arial"/>
          <w:sz w:val="24"/>
          <w:szCs w:val="24"/>
        </w:rPr>
        <w:t>?</w:t>
      </w:r>
    </w:p>
    <w:p>
      <w:pPr>
        <w:pStyle w:val="style179"/>
        <w:jc w:val="both"/>
        <w:rPr>
          <w:rFonts w:ascii="Arial" w:cs="Arial" w:hAnsi="Arial"/>
          <w:sz w:val="24"/>
          <w:szCs w:val="24"/>
        </w:rPr>
      </w:pPr>
      <w:r>
        <w:rPr>
          <w:rFonts w:ascii="Arial" w:cs="Arial" w:hAnsi="Arial"/>
          <w:sz w:val="24"/>
          <w:szCs w:val="24"/>
        </w:rPr>
        <w:t>Podemos analizar esto con la siguiente gráfica:</w:t>
      </w:r>
    </w:p>
    <w:p>
      <w:pPr>
        <w:pStyle w:val="style179"/>
        <w:jc w:val="both"/>
        <w:rPr>
          <w:rFonts w:ascii="Arial" w:cs="Arial" w:hAnsi="Arial"/>
          <w:sz w:val="24"/>
          <w:szCs w:val="24"/>
        </w:rPr>
      </w:pPr>
      <w:r>
        <w:rPr>
          <w:noProof/>
        </w:rPr>
      </w:r>
      <w:r>
        <w:rPr>
          <w:noProof/>
        </w:rPr>
      </w:r>
      <w:r>
        <w:rPr>
          <w:noProof/>
        </w:rPr>
      </w:r>
      <w:r>
        <w:rPr>
          <w:noProof/>
        </w:rPr>
        <w:drawing>
          <wp:inline distL="114300" distT="0" distB="0" distR="114300">
            <wp:extent cx="4572000" cy="2743200"/>
            <wp:effectExtent l="0" t="0" r="0" b="0"/>
            <wp:docPr id="109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r>
        <w:rPr>
          <w:noProof/>
        </w:rPr>
      </w:r>
    </w:p>
    <w:p>
      <w:pPr>
        <w:pStyle w:val="style179"/>
        <w:jc w:val="both"/>
        <w:rPr>
          <w:rFonts w:ascii="Arial" w:cs="Arial" w:hAnsi="Arial"/>
          <w:sz w:val="24"/>
          <w:szCs w:val="24"/>
        </w:rPr>
      </w:pPr>
      <w:r>
        <w:rPr>
          <w:rFonts w:ascii="Arial" w:cs="Arial" w:hAnsi="Arial"/>
          <w:sz w:val="24"/>
          <w:szCs w:val="24"/>
        </w:rPr>
        <w:br/>
      </w:r>
      <w:r>
        <w:rPr>
          <w:rFonts w:ascii="Arial" w:cs="Arial" w:hAnsi="Arial"/>
          <w:sz w:val="24"/>
          <w:szCs w:val="24"/>
        </w:rPr>
        <w:t xml:space="preserve">En esta grafica podemos apreciar como la mayoría de las exportaciones son realizadas por la zona franca de Panamá Pacifico. </w:t>
      </w:r>
    </w:p>
    <w:p>
      <w:pPr>
        <w:pStyle w:val="style179"/>
        <w:jc w:val="both"/>
        <w:rPr>
          <w:rFonts w:ascii="Arial" w:cs="Arial" w:hAnsi="Arial"/>
          <w:sz w:val="24"/>
          <w:szCs w:val="24"/>
        </w:rPr>
      </w:pPr>
      <w:r>
        <w:rPr>
          <w:rFonts w:ascii="Arial" w:cs="Arial" w:hAnsi="Arial"/>
          <w:sz w:val="24"/>
          <w:szCs w:val="24"/>
        </w:rPr>
        <w:t>Debido a esto, estaremos centrando el estudio solo en las exportaciones realizadas por esta zona franca.</w:t>
      </w:r>
    </w:p>
    <w:p>
      <w:pPr>
        <w:pStyle w:val="style179"/>
        <w:jc w:val="both"/>
        <w:rPr>
          <w:rFonts w:ascii="Arial" w:cs="Arial" w:hAnsi="Arial"/>
          <w:sz w:val="24"/>
          <w:szCs w:val="24"/>
        </w:rPr>
      </w:pPr>
    </w:p>
    <w:p>
      <w:pPr>
        <w:pStyle w:val="style179"/>
        <w:numPr>
          <w:ilvl w:val="0"/>
          <w:numId w:val="14"/>
        </w:numPr>
        <w:jc w:val="both"/>
        <w:rPr>
          <w:rFonts w:ascii="Arial" w:cs="Arial" w:hAnsi="Arial"/>
          <w:sz w:val="24"/>
          <w:szCs w:val="24"/>
        </w:rPr>
      </w:pPr>
      <w:r>
        <w:rPr>
          <w:rFonts w:ascii="Arial" w:cs="Arial" w:hAnsi="Arial"/>
          <w:sz w:val="24"/>
          <w:szCs w:val="24"/>
        </w:rPr>
        <w:t>¿Cuál ha sido el año en el que más se pagó FOB?</w:t>
      </w:r>
    </w:p>
    <w:p>
      <w:pPr>
        <w:pStyle w:val="style179"/>
        <w:jc w:val="both"/>
        <w:rPr>
          <w:rFonts w:ascii="Arial" w:cs="Arial" w:hAnsi="Arial"/>
          <w:sz w:val="24"/>
          <w:szCs w:val="24"/>
        </w:rPr>
      </w:pPr>
      <w:r>
        <w:rPr>
          <w:rFonts w:ascii="Arial" w:cs="Arial" w:hAnsi="Arial"/>
          <w:sz w:val="24"/>
          <w:szCs w:val="24"/>
        </w:rPr>
        <w:t>La siguiente grafica nos ayudara a entender en que año se pagó más FOB</w:t>
      </w:r>
    </w:p>
    <w:p>
      <w:pPr>
        <w:pStyle w:val="style179"/>
        <w:jc w:val="both"/>
        <w:rPr>
          <w:rFonts w:ascii="Arial" w:cs="Arial" w:hAnsi="Arial"/>
          <w:sz w:val="24"/>
          <w:szCs w:val="24"/>
        </w:rPr>
      </w:pPr>
      <w:r>
        <w:rPr>
          <w:noProof/>
        </w:rPr>
      </w:r>
      <w:r>
        <w:rPr>
          <w:noProof/>
        </w:rPr>
      </w:r>
      <w:r>
        <w:rPr>
          <w:noProof/>
        </w:rPr>
      </w:r>
      <w:r>
        <w:rPr>
          <w:noProof/>
        </w:rPr>
        <w:drawing>
          <wp:inline distL="114300" distT="0" distB="0" distR="114300">
            <wp:extent cx="4572000" cy="2743200"/>
            <wp:effectExtent l="0" t="0" r="0" b="0"/>
            <wp:docPr id="109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r>
        <w:rPr>
          <w:noProof/>
        </w:rPr>
      </w:r>
    </w:p>
    <w:p>
      <w:pPr>
        <w:pStyle w:val="style179"/>
        <w:jc w:val="both"/>
        <w:rPr>
          <w:rFonts w:ascii="Arial" w:cs="Arial" w:hAnsi="Arial"/>
          <w:sz w:val="24"/>
          <w:szCs w:val="24"/>
        </w:rPr>
      </w:pPr>
      <w:r>
        <w:rPr>
          <w:rFonts w:ascii="Arial" w:cs="Arial" w:hAnsi="Arial"/>
          <w:sz w:val="24"/>
          <w:szCs w:val="24"/>
        </w:rPr>
        <w:t xml:space="preserve">En esta podemos ver como se ha mantenido estable la cantidad anual que se paga en FOB, con un aumento en el </w:t>
      </w:r>
      <w:r>
        <w:rPr>
          <w:rFonts w:ascii="Arial" w:cs="Arial" w:hAnsi="Arial"/>
          <w:sz w:val="24"/>
          <w:szCs w:val="24"/>
        </w:rPr>
        <w:t>2013</w:t>
      </w:r>
      <w:r>
        <w:rPr>
          <w:rFonts w:ascii="Arial" w:cs="Arial" w:hAnsi="Arial"/>
          <w:sz w:val="24"/>
          <w:szCs w:val="24"/>
        </w:rPr>
        <w:t xml:space="preserve"> y un disminución considerable en el 2015</w:t>
      </w:r>
    </w:p>
    <w:p>
      <w:pPr>
        <w:pStyle w:val="style179"/>
        <w:ind w:left="360"/>
        <w:rPr>
          <w:rFonts w:ascii="Arial" w:cs="Arial" w:hAnsi="Arial"/>
          <w:sz w:val="24"/>
          <w:szCs w:val="24"/>
        </w:rPr>
      </w:pPr>
    </w:p>
    <w:p>
      <w:pPr>
        <w:pStyle w:val="style179"/>
        <w:ind w:left="360"/>
        <w:rPr>
          <w:rFonts w:ascii="Arial" w:cs="Arial" w:hAnsi="Arial"/>
          <w:sz w:val="24"/>
          <w:szCs w:val="24"/>
        </w:rPr>
      </w:pPr>
    </w:p>
    <w:p>
      <w:pPr>
        <w:pStyle w:val="style179"/>
        <w:numPr>
          <w:ilvl w:val="0"/>
          <w:numId w:val="14"/>
        </w:numPr>
        <w:jc w:val="both"/>
        <w:rPr>
          <w:rFonts w:ascii="Arial" w:cs="Arial" w:hAnsi="Arial"/>
          <w:sz w:val="24"/>
          <w:szCs w:val="24"/>
        </w:rPr>
      </w:pPr>
      <w:r>
        <w:rPr>
          <w:rFonts w:ascii="Arial" w:cs="Arial" w:hAnsi="Arial"/>
          <w:sz w:val="24"/>
          <w:szCs w:val="24"/>
        </w:rPr>
        <w:t>¿</w:t>
      </w:r>
      <w:r>
        <w:rPr>
          <w:rFonts w:ascii="Arial" w:cs="Arial" w:hAnsi="Arial"/>
          <w:sz w:val="24"/>
          <w:szCs w:val="24"/>
        </w:rPr>
        <w:t>Media</w:t>
      </w:r>
      <w:r>
        <w:rPr>
          <w:rFonts w:ascii="Arial" w:cs="Arial" w:hAnsi="Arial"/>
          <w:sz w:val="24"/>
          <w:szCs w:val="24"/>
        </w:rPr>
        <w:t xml:space="preserve"> de peso </w:t>
      </w:r>
      <w:r>
        <w:rPr>
          <w:rFonts w:ascii="Arial" w:cs="Arial" w:hAnsi="Arial"/>
          <w:sz w:val="24"/>
          <w:szCs w:val="24"/>
        </w:rPr>
        <w:t>neto</w:t>
      </w:r>
      <w:r>
        <w:rPr>
          <w:rFonts w:ascii="Arial" w:cs="Arial" w:hAnsi="Arial"/>
          <w:sz w:val="24"/>
          <w:szCs w:val="24"/>
        </w:rPr>
        <w:t xml:space="preserve"> exportado en el periodo estudiado?</w:t>
      </w:r>
    </w:p>
    <w:p>
      <w:pPr>
        <w:pStyle w:val="style179"/>
        <w:jc w:val="both"/>
        <w:rPr>
          <w:rFonts w:ascii="Arial" w:cs="Arial" w:hAnsi="Arial"/>
          <w:sz w:val="24"/>
          <w:szCs w:val="24"/>
        </w:rPr>
      </w:pPr>
      <w:r>
        <w:rPr>
          <w:rFonts w:ascii="Arial" w:cs="Arial" w:hAnsi="Arial"/>
          <w:sz w:val="24"/>
          <w:szCs w:val="24"/>
        </w:rPr>
        <w:t>Podemos ver el análisis de los datos numéricos del peso en la siguiente imagen</w:t>
      </w:r>
    </w:p>
    <w:p>
      <w:pPr>
        <w:pStyle w:val="style0"/>
        <w:jc w:val="center"/>
        <w:rPr>
          <w:noProof/>
        </w:rPr>
      </w:pPr>
      <w:r>
        <w:rPr>
          <w:noProof/>
        </w:rPr>
        <w:object>
          <v:shape id="1094" type="#_x0000_t75" filled="f" stroked="f" alt="Rectángulo&#10;&#10;Descripción generada automáticamente con confianza baja" style="margin-left:0.0pt;margin-top:0.0pt;width:252.6pt;height:75.78pt;mso-wrap-distance-left:0.0pt;mso-wrap-distance-right:0.0pt;visibility:visible;">
            <w10:anchorlock/>
            <v:imagedata r:id="rId46" embosscolor="white" o:title=""/>
            <v:fill/>
          </v:shape>
          <o:OLEObject Type="EMBED" ProgID="Excel.Chart.8" ShapeID="1094" DrawAspect="Content" ObjectID="0" r:id="rId47"/>
        </w:object>
      </w:r>
      <w:r>
        <w:rPr>
          <w:noProof/>
        </w:rPr>
        <w:t xml:space="preserve"> </w:t>
      </w:r>
    </w:p>
    <w:p>
      <w:pPr>
        <w:pStyle w:val="style179"/>
        <w:numPr>
          <w:ilvl w:val="0"/>
          <w:numId w:val="14"/>
        </w:numPr>
        <w:jc w:val="both"/>
        <w:rPr>
          <w:rFonts w:ascii="Arial" w:cs="Arial" w:hAnsi="Arial"/>
          <w:sz w:val="24"/>
          <w:szCs w:val="24"/>
        </w:rPr>
      </w:pPr>
      <w:r>
        <w:rPr>
          <w:rFonts w:ascii="Arial" w:cs="Arial" w:hAnsi="Arial"/>
          <w:sz w:val="24"/>
          <w:szCs w:val="24"/>
        </w:rPr>
        <w:t>¿Promedio de valor FOB pagado en el periodo estudiado?</w:t>
      </w:r>
    </w:p>
    <w:p>
      <w:pPr>
        <w:pStyle w:val="style179"/>
        <w:jc w:val="both"/>
        <w:rPr>
          <w:rFonts w:ascii="Arial" w:cs="Arial" w:hAnsi="Arial"/>
          <w:sz w:val="24"/>
          <w:szCs w:val="24"/>
        </w:rPr>
      </w:pPr>
      <w:r>
        <w:rPr>
          <w:rFonts w:ascii="Arial" w:cs="Arial" w:hAnsi="Arial"/>
          <w:sz w:val="24"/>
          <w:szCs w:val="24"/>
        </w:rPr>
        <w:t>Podemos ver el análisis de los datos numéricos del FOB en la siguiente imagen</w:t>
      </w:r>
    </w:p>
    <w:p>
      <w:pPr>
        <w:pStyle w:val="style179"/>
        <w:jc w:val="both"/>
        <w:rPr>
          <w:rFonts w:ascii="Arial" w:cs="Arial" w:hAnsi="Arial"/>
          <w:sz w:val="24"/>
          <w:szCs w:val="24"/>
        </w:rPr>
      </w:pPr>
    </w:p>
    <w:p>
      <w:pPr>
        <w:pStyle w:val="style179"/>
        <w:jc w:val="center"/>
        <w:rPr>
          <w:rFonts w:ascii="Arial" w:cs="Arial" w:hAnsi="Arial"/>
          <w:sz w:val="24"/>
          <w:szCs w:val="24"/>
        </w:rPr>
      </w:pPr>
      <w:r>
        <w:rPr>
          <w:rFonts w:ascii="Arial" w:cs="Arial" w:hAnsi="Arial"/>
          <w:noProof/>
          <w:sz w:val="24"/>
          <w:szCs w:val="24"/>
        </w:rPr>
        <w:drawing>
          <wp:inline distL="0" distT="0" distB="0" distR="0">
            <wp:extent cx="3172268" cy="962159"/>
            <wp:effectExtent l="0" t="0" r="9525" b="9525"/>
            <wp:docPr id="1095" name="Imagen 1571528599" descr="Imagen que contiene Rectángulo&#10;&#10;Descripción generada automáticament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n 1571528599"/>
                    <pic:cNvPicPr/>
                  </pic:nvPicPr>
                  <pic:blipFill>
                    <a:blip r:embed="rId48" cstate="print"/>
                    <a:srcRect l="0" t="0" r="0" b="0"/>
                    <a:stretch/>
                  </pic:blipFill>
                  <pic:spPr>
                    <a:xfrm rot="0">
                      <a:off x="0" y="0"/>
                      <a:ext cx="3172268" cy="962159"/>
                    </a:xfrm>
                    <a:prstGeom prst="rect"/>
                  </pic:spPr>
                </pic:pic>
              </a:graphicData>
            </a:graphic>
          </wp:inline>
        </w:drawing>
      </w:r>
    </w:p>
    <w:p>
      <w:pPr>
        <w:pStyle w:val="style179"/>
        <w:jc w:val="center"/>
        <w:rPr>
          <w:rFonts w:ascii="Arial" w:cs="Arial" w:hAnsi="Arial"/>
          <w:sz w:val="24"/>
          <w:szCs w:val="24"/>
        </w:rPr>
      </w:pPr>
    </w:p>
    <w:p>
      <w:pPr>
        <w:pStyle w:val="style179"/>
        <w:jc w:val="both"/>
        <w:rPr>
          <w:rFonts w:ascii="Arial" w:cs="Arial" w:hAnsi="Arial"/>
          <w:sz w:val="24"/>
          <w:szCs w:val="24"/>
        </w:rPr>
      </w:pPr>
    </w:p>
    <w:p>
      <w:pPr>
        <w:pStyle w:val="style179"/>
        <w:numPr>
          <w:ilvl w:val="0"/>
          <w:numId w:val="14"/>
        </w:numPr>
        <w:jc w:val="both"/>
        <w:rPr>
          <w:rFonts w:ascii="Arial" w:cs="Arial" w:hAnsi="Arial"/>
          <w:sz w:val="24"/>
          <w:szCs w:val="24"/>
        </w:rPr>
      </w:pPr>
      <w:r>
        <w:rPr>
          <w:rFonts w:ascii="Arial" w:cs="Arial" w:hAnsi="Arial"/>
          <w:sz w:val="24"/>
          <w:szCs w:val="24"/>
        </w:rPr>
        <w:t xml:space="preserve">¿Cuál es la correlación entre peso </w:t>
      </w:r>
      <w:r>
        <w:rPr>
          <w:rFonts w:ascii="Arial" w:cs="Arial" w:hAnsi="Arial"/>
          <w:sz w:val="24"/>
          <w:szCs w:val="24"/>
        </w:rPr>
        <w:t>neto</w:t>
      </w:r>
      <w:r>
        <w:rPr>
          <w:rFonts w:ascii="Arial" w:cs="Arial" w:hAnsi="Arial"/>
          <w:sz w:val="24"/>
          <w:szCs w:val="24"/>
        </w:rPr>
        <w:t xml:space="preserve"> y valor FOB</w:t>
      </w:r>
    </w:p>
    <w:p>
      <w:pPr>
        <w:pStyle w:val="style179"/>
        <w:ind w:left="1080"/>
        <w:jc w:val="both"/>
        <w:rPr>
          <w:rFonts w:ascii="Arial" w:cs="Arial" w:hAnsi="Arial"/>
          <w:sz w:val="24"/>
          <w:szCs w:val="24"/>
        </w:rPr>
      </w:pPr>
      <w:r>
        <w:rPr>
          <w:rFonts w:ascii="Arial" w:cs="Arial" w:hAnsi="Arial"/>
          <w:sz w:val="24"/>
          <w:szCs w:val="24"/>
        </w:rPr>
        <w:t>Para poder observar la relación entre estas dos variables de peso neto y FOB, sacamos la regresión lineal.</w:t>
      </w:r>
    </w:p>
    <w:p>
      <w:pPr>
        <w:pStyle w:val="style179"/>
        <w:ind w:left="1080"/>
        <w:jc w:val="both"/>
        <w:rPr>
          <w:rFonts w:ascii="Arial" w:cs="Arial" w:hAnsi="Arial"/>
          <w:sz w:val="24"/>
          <w:szCs w:val="24"/>
        </w:rPr>
      </w:pPr>
      <w:r>
        <w:rPr>
          <w:rFonts w:ascii="Arial" w:cs="Arial" w:hAnsi="Arial"/>
          <w:sz w:val="24"/>
          <w:szCs w:val="24"/>
        </w:rPr>
        <w:t>En la siguiente grafica podemos observar el comportamiento de estas variables.</w:t>
      </w:r>
    </w:p>
    <w:p>
      <w:pPr>
        <w:pStyle w:val="style179"/>
        <w:ind w:left="1080"/>
        <w:jc w:val="both"/>
        <w:rPr>
          <w:rFonts w:ascii="Arial" w:cs="Arial" w:hAnsi="Arial"/>
          <w:sz w:val="24"/>
          <w:szCs w:val="24"/>
        </w:rPr>
      </w:pPr>
    </w:p>
    <w:p>
      <w:pPr>
        <w:pStyle w:val="style179"/>
        <w:jc w:val="center"/>
        <w:rPr>
          <w:rFonts w:ascii="Arial" w:cs="Arial" w:hAnsi="Arial"/>
          <w:sz w:val="24"/>
          <w:szCs w:val="24"/>
        </w:rPr>
      </w:pPr>
      <w:r>
        <w:rPr>
          <w:noProof/>
        </w:rPr>
      </w:r>
      <w:r>
        <w:rPr>
          <w:noProof/>
        </w:rPr>
      </w:r>
      <w:r>
        <w:rPr>
          <w:noProof/>
        </w:rPr>
      </w:r>
      <w:r>
        <w:rPr>
          <w:noProof/>
        </w:rPr>
        <w:drawing>
          <wp:inline distL="114300" distT="0" distB="0" distR="114300">
            <wp:extent cx="4572000" cy="2743200"/>
            <wp:effectExtent l="0" t="0" r="0" b="0"/>
            <wp:docPr id="109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r>
        <w:rPr>
          <w:noProof/>
        </w:rPr>
      </w:r>
    </w:p>
    <w:p>
      <w:pPr>
        <w:pStyle w:val="style179"/>
        <w:jc w:val="both"/>
        <w:rPr>
          <w:rFonts w:ascii="Arial" w:cs="Arial" w:hAnsi="Arial"/>
          <w:sz w:val="24"/>
          <w:szCs w:val="24"/>
        </w:rPr>
      </w:pPr>
    </w:p>
    <w:p>
      <w:pPr>
        <w:pStyle w:val="style179"/>
        <w:ind w:left="0"/>
        <w:jc w:val="center"/>
        <w:rPr>
          <w:rFonts w:ascii="Arial" w:cs="Arial" w:hAnsi="Arial"/>
          <w:sz w:val="24"/>
          <w:szCs w:val="24"/>
        </w:rPr>
      </w:pPr>
    </w:p>
    <w:p>
      <w:pPr>
        <w:pStyle w:val="style179"/>
        <w:ind w:left="0"/>
        <w:jc w:val="both"/>
        <w:rPr>
          <w:rFonts w:ascii="Arial" w:cs="Arial" w:hAnsi="Arial"/>
          <w:sz w:val="24"/>
          <w:szCs w:val="24"/>
        </w:rPr>
      </w:pPr>
      <w:r>
        <w:rPr>
          <w:rFonts w:ascii="Arial" w:cs="Arial" w:hAnsi="Arial"/>
          <w:sz w:val="24"/>
          <w:szCs w:val="24"/>
        </w:rPr>
        <w:t xml:space="preserve">La regresión lineal nos da para </w:t>
      </w:r>
      <m:oMath>
        <m:r>
          <w:rPr>
            <w:rFonts w:ascii="Cambria Math" w:cs="Arial" w:hAnsi="Cambria Math"/>
            <w:sz w:val="24"/>
            <w:szCs w:val="24"/>
          </w:rPr>
          <m:t>y</m:t>
        </m:r>
      </m:oMath>
      <w:r>
        <w:rPr>
          <w:rFonts w:ascii="Arial" w:cs="Arial" w:hAnsi="Arial"/>
          <w:sz w:val="24"/>
          <w:szCs w:val="24"/>
        </w:rPr>
        <w:t xml:space="preserve"> la siguiente formula: </w:t>
      </w:r>
    </w:p>
    <w:p>
      <w:pPr>
        <w:pStyle w:val="style179"/>
        <w:jc w:val="center"/>
        <w:rPr>
          <w:rFonts w:ascii="Cambria Math" w:cs="Arial" w:hAnsi="Cambria Math"/>
          <w:i/>
          <w:sz w:val="24"/>
          <w:szCs w:val="24"/>
        </w:rPr>
      </w:pPr>
      <w:r>
        <w:rPr>
          <w:rFonts w:ascii="Cambria Math" w:cs="Arial" w:hAnsi="Cambria Math"/>
          <w:i/>
          <w:sz w:val="24"/>
          <w:szCs w:val="24"/>
          <w:lang w:val="en-US"/>
        </w:rPr>
        <w:t>y = 0.4973x - 476.73</w:t>
      </w:r>
    </w:p>
    <w:p>
      <w:pPr>
        <w:pStyle w:val="style179"/>
        <w:ind w:left="0"/>
        <w:jc w:val="both"/>
        <w:rPr>
          <w:rFonts w:ascii="Arial" w:cs="Arial" w:hAnsi="Arial"/>
          <w:sz w:val="24"/>
          <w:szCs w:val="24"/>
        </w:rPr>
      </w:pPr>
    </w:p>
    <w:p>
      <w:pPr>
        <w:pStyle w:val="style179"/>
        <w:ind w:left="0"/>
        <w:jc w:val="both"/>
        <w:rPr>
          <w:rFonts w:ascii="Arial" w:cs="Arial" w:hAnsi="Arial"/>
          <w:sz w:val="24"/>
          <w:szCs w:val="24"/>
        </w:rPr>
      </w:pPr>
      <w:r>
        <w:rPr>
          <w:rFonts w:ascii="Arial" w:cs="Arial" w:hAnsi="Arial"/>
          <w:sz w:val="24"/>
          <w:szCs w:val="24"/>
        </w:rPr>
        <w:t>También podemos conseguir el intervalo de confianza al 95% para la intersección y la variable x1 de la fórmula de regresión</w:t>
      </w:r>
    </w:p>
    <w:p>
      <w:pPr>
        <w:pStyle w:val="style179"/>
        <w:jc w:val="both"/>
        <w:rPr>
          <w:rFonts w:ascii="Arial" w:cs="Arial" w:hAnsi="Arial"/>
          <w:sz w:val="24"/>
          <w:szCs w:val="24"/>
        </w:rPr>
      </w:pPr>
    </w:p>
    <w:p>
      <w:pPr>
        <w:pStyle w:val="style179"/>
        <w:jc w:val="center"/>
        <w:rPr>
          <w:rFonts w:ascii="Arial" w:cs="Arial" w:hAnsi="Arial"/>
          <w:sz w:val="24"/>
          <w:szCs w:val="24"/>
        </w:rPr>
      </w:pPr>
      <w:r>
        <w:rPr>
          <w:rFonts w:ascii="Arial" w:cs="Arial" w:hAnsi="Arial"/>
          <w:noProof/>
          <w:sz w:val="24"/>
          <w:szCs w:val="24"/>
        </w:rPr>
        <w:object>
          <v:shape id="1098" type="#_x0000_t75" filled="f" stroked="f" alt="Tabla&#10;&#10;Descripción generada automáticamente" style="margin-left:0.0pt;margin-top:0.0pt;width:235.53pt;height:120.02pt;mso-wrap-distance-left:0.0pt;mso-wrap-distance-right:0.0pt;visibility:visible;">
            <w10:anchorlock/>
            <v:imagedata r:id="rId50" embosscolor="white" o:title=""/>
            <v:fill/>
          </v:shape>
          <o:OLEObject Type="EMBED" ProgID="Excel.Chart.8" ShapeID="1098" DrawAspect="Content" ObjectID="0" r:id="rId51"/>
        </w:object>
      </w:r>
    </w:p>
    <w:p>
      <w:pPr>
        <w:pStyle w:val="style179"/>
        <w:jc w:val="both"/>
        <w:rPr>
          <w:rFonts w:ascii="Arial" w:cs="Arial" w:hAnsi="Arial"/>
          <w:sz w:val="24"/>
          <w:szCs w:val="24"/>
        </w:rPr>
      </w:pPr>
    </w:p>
    <w:p>
      <w:pPr>
        <w:pStyle w:val="style179"/>
        <w:jc w:val="both"/>
        <w:rPr>
          <w:rFonts w:ascii="Arial" w:cs="Arial" w:hAnsi="Arial"/>
          <w:sz w:val="24"/>
          <w:szCs w:val="24"/>
        </w:rPr>
      </w:pPr>
    </w:p>
    <w:p>
      <w:pPr>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sz w:val="24"/>
          <w:szCs w:val="24"/>
        </w:rPr>
      </w:pPr>
    </w:p>
    <w:p>
      <w:pPr>
        <w:pStyle w:val="style179"/>
        <w:ind w:left="0"/>
        <w:jc w:val="both"/>
        <w:rPr>
          <w:rFonts w:ascii="Arial" w:cs="Arial" w:hAnsi="Arial"/>
          <w:sz w:val="24"/>
          <w:szCs w:val="24"/>
        </w:rPr>
      </w:pPr>
      <w:r>
        <w:rPr>
          <w:rFonts w:ascii="Arial" w:cs="Arial" w:hAnsi="Arial"/>
          <w:sz w:val="24"/>
          <w:szCs w:val="24"/>
        </w:rPr>
        <w:t xml:space="preserve">En la siguiente tabla podemos observar como el valor de R^2 está muy </w:t>
      </w:r>
      <w:r>
        <w:rPr>
          <w:rFonts w:ascii="Arial" w:cs="Arial" w:hAnsi="Arial"/>
          <w:sz w:val="24"/>
          <w:szCs w:val="24"/>
          <w:lang w:val="en-US"/>
        </w:rPr>
        <w:t xml:space="preserve">lejosn </w:t>
      </w:r>
      <w:r>
        <w:rPr>
          <w:rFonts w:ascii="Arial" w:cs="Arial" w:hAnsi="Arial"/>
          <w:sz w:val="24"/>
          <w:szCs w:val="24"/>
        </w:rPr>
        <w:t>de 1, lo que nos indica que existe una relación entre las variables analizadas</w:t>
      </w:r>
    </w:p>
    <w:p>
      <w:pPr>
        <w:pStyle w:val="style179"/>
        <w:jc w:val="center"/>
        <w:rPr>
          <w:rFonts w:ascii="Arial" w:cs="Arial" w:hAnsi="Arial"/>
          <w:sz w:val="24"/>
          <w:szCs w:val="24"/>
        </w:rPr>
      </w:pPr>
      <w:r>
        <w:rPr>
          <w:rFonts w:ascii="Arial" w:cs="Arial" w:hAnsi="Arial"/>
          <w:noProof/>
          <w:sz w:val="24"/>
          <w:szCs w:val="24"/>
        </w:rPr>
        <w:drawing>
          <wp:inline distL="0" distT="0" distB="0" distR="0">
            <wp:extent cx="3743847" cy="1543265"/>
            <wp:effectExtent l="0" t="0" r="9525" b="0"/>
            <wp:docPr id="1099" name="Imagen 1931440429" descr="Tabla&#10;&#10;Descripción generada automáticament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Imagen 1931440429"/>
                    <pic:cNvPicPr/>
                  </pic:nvPicPr>
                  <pic:blipFill>
                    <a:blip r:embed="rId52" cstate="print"/>
                    <a:srcRect l="0" t="0" r="0" b="0"/>
                    <a:stretch/>
                  </pic:blipFill>
                  <pic:spPr>
                    <a:xfrm rot="0">
                      <a:off x="0" y="0"/>
                      <a:ext cx="3743847" cy="1543265"/>
                    </a:xfrm>
                    <a:prstGeom prst="rect"/>
                  </pic:spPr>
                </pic:pic>
              </a:graphicData>
            </a:graphic>
          </wp:inline>
        </w:drawing>
      </w:r>
    </w:p>
    <w:p>
      <w:pPr>
        <w:pStyle w:val="style179"/>
        <w:jc w:val="both"/>
        <w:rPr>
          <w:rFonts w:ascii="Arial" w:cs="Arial" w:hAnsi="Arial"/>
          <w:sz w:val="24"/>
          <w:szCs w:val="24"/>
        </w:rPr>
      </w:pPr>
    </w:p>
    <w:p>
      <w:pPr>
        <w:pStyle w:val="style179"/>
        <w:jc w:val="both"/>
        <w:rPr>
          <w:rFonts w:ascii="Arial" w:cs="Arial" w:hAnsi="Arial"/>
          <w:sz w:val="24"/>
          <w:szCs w:val="24"/>
        </w:rPr>
      </w:pPr>
    </w:p>
    <w:p>
      <w:pPr>
        <w:pStyle w:val="style179"/>
        <w:jc w:val="both"/>
        <w:rPr>
          <w:rFonts w:ascii="Arial" w:cs="Arial" w:hAnsi="Arial"/>
          <w:sz w:val="24"/>
          <w:szCs w:val="24"/>
        </w:rPr>
      </w:pPr>
    </w:p>
    <w:p>
      <w:pPr>
        <w:pStyle w:val="style179"/>
        <w:jc w:val="both"/>
        <w:rPr>
          <w:rFonts w:ascii="Arial" w:cs="Arial" w:hAnsi="Arial"/>
          <w:sz w:val="24"/>
          <w:szCs w:val="24"/>
        </w:rPr>
      </w:pPr>
    </w:p>
    <w:p>
      <w:pPr>
        <w:pStyle w:val="style179"/>
        <w:jc w:val="both"/>
        <w:rPr>
          <w:rFonts w:ascii="Arial" w:cs="Arial" w:hAnsi="Arial"/>
          <w:sz w:val="24"/>
          <w:szCs w:val="24"/>
        </w:rPr>
      </w:pPr>
    </w:p>
    <w:p>
      <w:pPr>
        <w:pStyle w:val="style179"/>
        <w:jc w:val="both"/>
        <w:rPr>
          <w:rFonts w:ascii="Arial" w:cs="Arial" w:hAnsi="Arial"/>
          <w:sz w:val="24"/>
          <w:szCs w:val="24"/>
        </w:rPr>
      </w:pPr>
    </w:p>
    <w:p>
      <w:pPr>
        <w:pStyle w:val="style179"/>
        <w:jc w:val="both"/>
        <w:rPr>
          <w:rFonts w:ascii="Arial" w:cs="Arial" w:hAnsi="Arial"/>
          <w:sz w:val="24"/>
          <w:szCs w:val="24"/>
        </w:rPr>
      </w:pPr>
    </w:p>
    <w:p>
      <w:pPr>
        <w:pStyle w:val="style179"/>
        <w:jc w:val="both"/>
        <w:rPr>
          <w:rFonts w:ascii="Arial" w:cs="Arial" w:hAnsi="Arial"/>
          <w:sz w:val="24"/>
          <w:szCs w:val="24"/>
        </w:rPr>
      </w:pPr>
    </w:p>
    <w:p>
      <w:pPr>
        <w:pStyle w:val="style179"/>
        <w:jc w:val="both"/>
        <w:rPr>
          <w:rFonts w:ascii="Arial" w:cs="Arial" w:hAnsi="Arial"/>
          <w:sz w:val="24"/>
          <w:szCs w:val="24"/>
        </w:rPr>
      </w:pPr>
    </w:p>
    <w:p>
      <w:pPr>
        <w:pStyle w:val="style179"/>
        <w:jc w:val="both"/>
        <w:rPr>
          <w:rFonts w:ascii="Arial" w:cs="Arial" w:hAnsi="Arial"/>
          <w:sz w:val="24"/>
          <w:szCs w:val="24"/>
        </w:rPr>
      </w:pPr>
    </w:p>
    <w:p>
      <w:pPr>
        <w:pStyle w:val="style179"/>
        <w:jc w:val="both"/>
        <w:rPr>
          <w:rFonts w:ascii="Arial" w:cs="Arial" w:hAnsi="Arial"/>
          <w:sz w:val="24"/>
          <w:szCs w:val="24"/>
        </w:rPr>
      </w:pPr>
    </w:p>
    <w:p>
      <w:pPr>
        <w:pStyle w:val="style179"/>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sz w:val="24"/>
          <w:szCs w:val="24"/>
        </w:rPr>
      </w:pPr>
      <w:r>
        <w:rPr>
          <w:rFonts w:ascii="Arial" w:cs="Arial" w:hAnsi="Arial"/>
          <w:sz w:val="24"/>
          <w:szCs w:val="24"/>
        </w:rPr>
        <w:t>A continuación formulamos nuestras hipótesis</w:t>
      </w:r>
    </w:p>
    <w:p>
      <w:pPr>
        <w:pStyle w:val="style0"/>
        <w:jc w:val="both"/>
        <w:rPr>
          <w:rFonts w:ascii="Arial" w:cs="Arial" w:hAnsi="Arial"/>
          <w:sz w:val="24"/>
          <w:szCs w:val="24"/>
        </w:rPr>
      </w:pPr>
      <w:r>
        <w:rPr>
          <w:rFonts w:ascii="Arial" w:cs="Arial" w:hAnsi="Arial"/>
          <w:sz w:val="24"/>
          <w:szCs w:val="24"/>
        </w:rPr>
        <w:t>Hipótesis nula (H0):</w:t>
      </w:r>
    </w:p>
    <w:p>
      <w:pPr>
        <w:pStyle w:val="style0"/>
        <w:jc w:val="both"/>
        <w:rPr>
          <w:rFonts w:ascii="Arial" w:cs="Arial" w:hAnsi="Arial"/>
          <w:sz w:val="24"/>
          <w:szCs w:val="24"/>
        </w:rPr>
      </w:pPr>
      <w:r>
        <w:rPr>
          <w:rFonts w:ascii="Arial" w:cs="Arial" w:hAnsi="Arial"/>
          <w:sz w:val="24"/>
          <w:szCs w:val="24"/>
        </w:rPr>
        <w:t>No hay relación significativa entre el peso y el valor FOB. En términos de coeficientes de regresión, esto se expresa como:</w:t>
      </w:r>
    </w:p>
    <w:p>
      <w:pPr>
        <w:pStyle w:val="style0"/>
        <w:jc w:val="both"/>
        <w:rPr>
          <w:rFonts w:ascii="Arial" w:cs="Arial" w:hAnsi="Arial"/>
          <w:sz w:val="24"/>
          <w:szCs w:val="24"/>
        </w:rPr>
      </w:pPr>
      <w:r>
        <w:rPr>
          <w:rFonts w:ascii="Arial" w:cs="Arial" w:hAnsi="Arial"/>
          <w:sz w:val="24"/>
          <w:szCs w:val="24"/>
        </w:rPr>
        <w:t>H0: El coeficiente de la variab</w:t>
      </w:r>
      <w:r>
        <w:rPr>
          <w:rFonts w:ascii="Arial" w:cs="Arial" w:hAnsi="Arial"/>
          <w:sz w:val="24"/>
          <w:szCs w:val="24"/>
        </w:rPr>
        <w:t>le "peso" (β1) es igual a cero.</w:t>
      </w:r>
    </w:p>
    <w:p>
      <w:pPr>
        <w:pStyle w:val="style0"/>
        <w:jc w:val="both"/>
        <w:rPr>
          <w:rFonts w:ascii="Arial" w:cs="Arial" w:hAnsi="Arial"/>
          <w:sz w:val="24"/>
          <w:szCs w:val="24"/>
        </w:rPr>
      </w:pPr>
      <w:r>
        <w:rPr>
          <w:rFonts w:ascii="Arial" w:cs="Arial" w:hAnsi="Arial"/>
          <w:sz w:val="24"/>
          <w:szCs w:val="24"/>
        </w:rPr>
        <w:t>Esto significa que la variable "peso" no tiene un efecto significativo sobre el "valor FOB" y que cualquier variación en el valor FOB no se debe a cambios en el peso.</w:t>
      </w:r>
    </w:p>
    <w:p>
      <w:pPr>
        <w:pStyle w:val="style0"/>
        <w:jc w:val="both"/>
        <w:rPr>
          <w:rFonts w:ascii="Arial" w:cs="Arial" w:hAnsi="Arial"/>
          <w:sz w:val="24"/>
          <w:szCs w:val="24"/>
        </w:rPr>
      </w:pPr>
    </w:p>
    <w:p>
      <w:pPr>
        <w:pStyle w:val="style0"/>
        <w:jc w:val="both"/>
        <w:rPr>
          <w:rFonts w:ascii="Arial" w:cs="Arial" w:hAnsi="Arial"/>
          <w:sz w:val="24"/>
          <w:szCs w:val="24"/>
        </w:rPr>
      </w:pPr>
      <w:r>
        <w:rPr>
          <w:rFonts w:ascii="Arial" w:cs="Arial" w:hAnsi="Arial"/>
          <w:sz w:val="24"/>
          <w:szCs w:val="24"/>
        </w:rPr>
        <w:t>Hipótesis alternativa (H1</w:t>
      </w:r>
      <w:r>
        <w:rPr>
          <w:rFonts w:ascii="Arial" w:cs="Arial" w:hAnsi="Arial"/>
          <w:sz w:val="24"/>
          <w:szCs w:val="24"/>
        </w:rPr>
        <w:t>):</w:t>
      </w:r>
    </w:p>
    <w:p>
      <w:pPr>
        <w:pStyle w:val="style0"/>
        <w:jc w:val="both"/>
        <w:rPr>
          <w:rFonts w:ascii="Arial" w:cs="Arial" w:hAnsi="Arial"/>
          <w:sz w:val="24"/>
          <w:szCs w:val="24"/>
        </w:rPr>
      </w:pPr>
      <w:r>
        <w:rPr>
          <w:rFonts w:ascii="Arial" w:cs="Arial" w:hAnsi="Arial"/>
          <w:sz w:val="24"/>
          <w:szCs w:val="24"/>
        </w:rPr>
        <w:t>Existe una relación significativa entre el peso y el valor FOB. En términos de coeficientes de r</w:t>
      </w:r>
      <w:r>
        <w:rPr>
          <w:rFonts w:ascii="Arial" w:cs="Arial" w:hAnsi="Arial"/>
          <w:sz w:val="24"/>
          <w:szCs w:val="24"/>
        </w:rPr>
        <w:t>egresión, esto se expresa como:</w:t>
      </w:r>
    </w:p>
    <w:p>
      <w:pPr>
        <w:pStyle w:val="style0"/>
        <w:jc w:val="both"/>
        <w:rPr>
          <w:rFonts w:ascii="Arial" w:cs="Arial" w:hAnsi="Arial"/>
          <w:sz w:val="24"/>
          <w:szCs w:val="24"/>
        </w:rPr>
      </w:pPr>
      <w:r>
        <w:rPr>
          <w:rFonts w:ascii="Arial" w:cs="Arial" w:hAnsi="Arial"/>
          <w:sz w:val="24"/>
          <w:szCs w:val="24"/>
        </w:rPr>
        <w:t>Ha: El coeficiente de la variable "p</w:t>
      </w:r>
      <w:r>
        <w:rPr>
          <w:rFonts w:ascii="Arial" w:cs="Arial" w:hAnsi="Arial"/>
          <w:sz w:val="24"/>
          <w:szCs w:val="24"/>
        </w:rPr>
        <w:t>eso" (β1) es diferente de cero.</w:t>
      </w:r>
    </w:p>
    <w:p>
      <w:pPr>
        <w:pStyle w:val="style0"/>
        <w:jc w:val="both"/>
        <w:rPr>
          <w:rFonts w:ascii="Arial" w:cs="Arial" w:hAnsi="Arial"/>
          <w:sz w:val="24"/>
          <w:szCs w:val="24"/>
        </w:rPr>
      </w:pPr>
      <w:r>
        <w:rPr>
          <w:rFonts w:ascii="Arial" w:cs="Arial" w:hAnsi="Arial"/>
          <w:sz w:val="24"/>
          <w:szCs w:val="24"/>
        </w:rPr>
        <w:t>Esto sugiere que el peso sí tiene un efecto significativo sobre el "valor FOB" y que cambios en el peso están relacionados con variaciones en el valor FOB.</w:t>
      </w:r>
    </w:p>
    <w:p>
      <w:pPr>
        <w:pStyle w:val="style179"/>
        <w:jc w:val="both"/>
        <w:rPr>
          <w:rFonts w:ascii="Arial" w:cs="Arial" w:hAnsi="Arial"/>
          <w:sz w:val="24"/>
          <w:szCs w:val="24"/>
        </w:rPr>
      </w:pPr>
    </w:p>
    <w:p>
      <w:pPr>
        <w:pStyle w:val="style179"/>
        <w:jc w:val="both"/>
        <w:rPr>
          <w:rFonts w:ascii="Arial" w:cs="Arial" w:hAnsi="Arial"/>
          <w:sz w:val="24"/>
          <w:szCs w:val="24"/>
        </w:rPr>
      </w:pPr>
    </w:p>
    <w:p>
      <w:pPr>
        <w:pStyle w:val="style179"/>
        <w:ind w:left="0"/>
        <w:jc w:val="both"/>
        <w:rPr>
          <w:rFonts w:ascii="Arial" w:cs="Arial" w:hAnsi="Arial"/>
          <w:sz w:val="24"/>
          <w:szCs w:val="24"/>
        </w:rPr>
      </w:pPr>
      <w:r>
        <w:rPr>
          <w:rFonts w:ascii="Arial" w:cs="Arial" w:hAnsi="Arial"/>
          <w:sz w:val="24"/>
          <w:szCs w:val="24"/>
        </w:rPr>
        <w:t>Realizamos de igual manera la prueba de F para ver si podemos rechazar la hipótesis nula</w:t>
      </w:r>
    </w:p>
    <w:p>
      <w:pPr>
        <w:pStyle w:val="style179"/>
        <w:jc w:val="both"/>
        <w:rPr>
          <w:rFonts w:ascii="Arial" w:cs="Arial" w:hAnsi="Arial"/>
          <w:sz w:val="24"/>
          <w:szCs w:val="24"/>
        </w:rPr>
      </w:pPr>
      <w:r>
        <w:rPr>
          <w:rFonts w:ascii="Arial" w:cs="Arial" w:hAnsi="Arial"/>
          <w:noProof/>
          <w:sz w:val="24"/>
          <w:szCs w:val="24"/>
        </w:rPr>
        <w:drawing>
          <wp:inline distL="0" distT="0" distB="0" distR="0">
            <wp:extent cx="5712947" cy="647700"/>
            <wp:effectExtent l="0" t="0" r="2540" b="0"/>
            <wp:docPr id="1100" name="Imagen 20914517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Imagen 2091451734"/>
                    <pic:cNvPicPr/>
                  </pic:nvPicPr>
                  <pic:blipFill>
                    <a:blip r:embed="rId53" cstate="print"/>
                    <a:srcRect l="0" t="0" r="0" b="0"/>
                    <a:stretch/>
                  </pic:blipFill>
                  <pic:spPr>
                    <a:xfrm rot="0">
                      <a:off x="0" y="0"/>
                      <a:ext cx="5712947" cy="647700"/>
                    </a:xfrm>
                    <a:prstGeom prst="rect"/>
                  </pic:spPr>
                </pic:pic>
              </a:graphicData>
            </a:graphic>
          </wp:inline>
        </w:drawing>
      </w:r>
    </w:p>
    <w:p>
      <w:pPr>
        <w:pStyle w:val="style179"/>
        <w:jc w:val="both"/>
        <w:rPr>
          <w:rFonts w:ascii="Arial" w:cs="Arial" w:hAnsi="Arial"/>
          <w:sz w:val="24"/>
          <w:szCs w:val="24"/>
        </w:rPr>
      </w:pPr>
    </w:p>
    <w:p>
      <w:pPr>
        <w:pStyle w:val="style0"/>
        <w:jc w:val="both"/>
        <w:rPr>
          <w:rFonts w:ascii="Arial" w:cs="Arial" w:hAnsi="Arial"/>
          <w:sz w:val="24"/>
          <w:szCs w:val="24"/>
        </w:rPr>
      </w:pPr>
      <w:r>
        <w:rPr>
          <w:rFonts w:ascii="Arial" w:cs="Arial" w:hAnsi="Arial"/>
          <w:sz w:val="24"/>
          <w:szCs w:val="24"/>
        </w:rPr>
        <w:t>Por lo tanto podemos concluir que existe una relación significativa y la regresión lineal consigue explicar gran parte de la variabilidad observada</w:t>
      </w: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sz w:val="24"/>
          <w:szCs w:val="24"/>
        </w:rPr>
      </w:pPr>
    </w:p>
    <w:p>
      <w:pPr>
        <w:pStyle w:val="style179"/>
        <w:jc w:val="center"/>
        <w:rPr>
          <w:rFonts w:ascii="Arial" w:cs="Arial" w:hAnsi="Arial"/>
          <w:sz w:val="28"/>
          <w:szCs w:val="28"/>
        </w:rPr>
      </w:pPr>
      <w:r>
        <w:rPr>
          <w:rFonts w:ascii="Arial" w:cs="Arial" w:hAnsi="Arial"/>
          <w:sz w:val="28"/>
          <w:szCs w:val="28"/>
        </w:rPr>
        <w:t xml:space="preserve">Base de datos de exportaciones de </w:t>
      </w:r>
      <w:r>
        <w:rPr>
          <w:rFonts w:ascii="Arial" w:cs="Arial" w:hAnsi="Arial"/>
          <w:sz w:val="28"/>
          <w:szCs w:val="28"/>
        </w:rPr>
        <w:t>m</w:t>
      </w:r>
      <w:r>
        <w:rPr>
          <w:rFonts w:ascii="Arial" w:cs="Arial" w:hAnsi="Arial"/>
          <w:sz w:val="28"/>
          <w:szCs w:val="28"/>
        </w:rPr>
        <w:t>adera y carbon vegetal</w:t>
      </w:r>
    </w:p>
    <w:p>
      <w:pPr>
        <w:pStyle w:val="style179"/>
        <w:rPr>
          <w:rFonts w:ascii="Arial" w:cs="Arial" w:hAnsi="Arial"/>
          <w:sz w:val="28"/>
          <w:szCs w:val="28"/>
        </w:rPr>
      </w:pPr>
    </w:p>
    <w:p>
      <w:pPr>
        <w:pStyle w:val="style179"/>
        <w:jc w:val="both"/>
        <w:rPr>
          <w:rFonts w:ascii="Arial" w:cs="Arial" w:hAnsi="Arial"/>
          <w:sz w:val="24"/>
          <w:szCs w:val="24"/>
        </w:rPr>
      </w:pPr>
      <w:r>
        <w:rPr>
          <w:rFonts w:ascii="Arial" w:cs="Arial" w:hAnsi="Arial"/>
          <w:sz w:val="24"/>
          <w:szCs w:val="24"/>
        </w:rPr>
        <w:t xml:space="preserve">Esta base de datos posee información de las exportaciones de manufactura diversas del arancel </w:t>
      </w:r>
      <w:r>
        <w:rPr>
          <w:rFonts w:ascii="Arial" w:cs="Arial" w:hAnsi="Arial"/>
          <w:sz w:val="24"/>
          <w:szCs w:val="24"/>
        </w:rPr>
        <w:t>4202.11.00.00</w:t>
      </w:r>
      <w:r>
        <w:rPr>
          <w:rFonts w:ascii="Arial" w:cs="Arial" w:hAnsi="Arial"/>
          <w:sz w:val="24"/>
          <w:szCs w:val="24"/>
        </w:rPr>
        <w:t xml:space="preserve"> </w:t>
      </w:r>
      <w:r>
        <w:rPr>
          <w:rFonts w:ascii="Arial" w:cs="Arial" w:hAnsi="Arial"/>
          <w:sz w:val="24"/>
          <w:szCs w:val="24"/>
        </w:rPr>
        <w:t>el cual categoriza</w:t>
      </w:r>
      <w:r>
        <w:rPr>
          <w:rFonts w:ascii="Arial" w:cs="Arial" w:hAnsi="Arial"/>
          <w:sz w:val="24"/>
          <w:szCs w:val="24"/>
        </w:rPr>
        <w:t>n los carbones vegetales</w:t>
      </w:r>
    </w:p>
    <w:p>
      <w:pPr>
        <w:pStyle w:val="style0"/>
        <w:jc w:val="both"/>
        <w:rPr>
          <w:rFonts w:ascii="Arial" w:cs="Arial" w:hAnsi="Arial"/>
          <w:sz w:val="24"/>
          <w:szCs w:val="24"/>
        </w:rPr>
      </w:pPr>
    </w:p>
    <w:p>
      <w:pPr>
        <w:pStyle w:val="style179"/>
        <w:jc w:val="both"/>
        <w:rPr>
          <w:rFonts w:ascii="Arial" w:cs="Arial" w:hAnsi="Arial"/>
          <w:sz w:val="24"/>
          <w:szCs w:val="24"/>
        </w:rPr>
      </w:pPr>
      <w:r>
        <w:rPr>
          <w:rFonts w:ascii="Arial" w:cs="Arial" w:hAnsi="Arial"/>
          <w:sz w:val="24"/>
          <w:szCs w:val="24"/>
        </w:rPr>
        <w:t>La tabla posee los siguientes atributos:</w:t>
      </w:r>
    </w:p>
    <w:p>
      <w:pPr>
        <w:pStyle w:val="style179"/>
        <w:numPr>
          <w:ilvl w:val="0"/>
          <w:numId w:val="11"/>
        </w:numPr>
        <w:jc w:val="both"/>
        <w:rPr>
          <w:rFonts w:ascii="Arial" w:cs="Arial" w:hAnsi="Arial"/>
          <w:sz w:val="24"/>
          <w:szCs w:val="24"/>
        </w:rPr>
      </w:pPr>
      <w:r>
        <w:rPr>
          <w:rFonts w:ascii="Arial" w:cs="Arial" w:hAnsi="Arial"/>
          <w:sz w:val="24"/>
          <w:szCs w:val="24"/>
        </w:rPr>
        <w:t>Año:</w:t>
      </w:r>
      <w:r>
        <w:rPr>
          <w:rFonts w:ascii="Arial" w:cs="Arial" w:hAnsi="Arial"/>
          <w:sz w:val="24"/>
          <w:szCs w:val="24"/>
        </w:rPr>
        <w:t xml:space="preserve"> </w:t>
      </w:r>
      <w:r>
        <w:rPr>
          <w:rFonts w:ascii="Arial" w:cs="Arial" w:hAnsi="Arial"/>
          <w:sz w:val="24"/>
          <w:szCs w:val="24"/>
        </w:rPr>
        <w:t>dato categórico</w:t>
      </w:r>
    </w:p>
    <w:p>
      <w:pPr>
        <w:pStyle w:val="style179"/>
        <w:numPr>
          <w:ilvl w:val="0"/>
          <w:numId w:val="11"/>
        </w:numPr>
        <w:jc w:val="both"/>
        <w:rPr>
          <w:rFonts w:ascii="Arial" w:cs="Arial" w:hAnsi="Arial"/>
          <w:sz w:val="24"/>
          <w:szCs w:val="24"/>
        </w:rPr>
      </w:pPr>
      <w:r>
        <w:rPr>
          <w:rFonts w:ascii="Arial" w:cs="Arial" w:hAnsi="Arial"/>
          <w:sz w:val="24"/>
          <w:szCs w:val="24"/>
        </w:rPr>
        <w:t>Continente: dato categórico</w:t>
      </w:r>
    </w:p>
    <w:p>
      <w:pPr>
        <w:pStyle w:val="style179"/>
        <w:numPr>
          <w:ilvl w:val="0"/>
          <w:numId w:val="11"/>
        </w:numPr>
        <w:jc w:val="both"/>
        <w:rPr>
          <w:rFonts w:ascii="Arial" w:cs="Arial" w:hAnsi="Arial"/>
          <w:sz w:val="24"/>
          <w:szCs w:val="24"/>
        </w:rPr>
      </w:pPr>
      <w:r>
        <w:rPr>
          <w:rFonts w:ascii="Arial" w:cs="Arial" w:hAnsi="Arial"/>
          <w:sz w:val="24"/>
          <w:szCs w:val="24"/>
        </w:rPr>
        <w:t>Mes: dato categórico</w:t>
      </w:r>
    </w:p>
    <w:p>
      <w:pPr>
        <w:pStyle w:val="style179"/>
        <w:numPr>
          <w:ilvl w:val="0"/>
          <w:numId w:val="11"/>
        </w:numPr>
        <w:jc w:val="both"/>
        <w:rPr>
          <w:rFonts w:ascii="Arial" w:cs="Arial" w:hAnsi="Arial"/>
          <w:sz w:val="24"/>
          <w:szCs w:val="24"/>
        </w:rPr>
      </w:pPr>
      <w:r>
        <w:rPr>
          <w:rFonts w:ascii="Arial" w:cs="Arial" w:hAnsi="Arial"/>
          <w:sz w:val="24"/>
          <w:szCs w:val="24"/>
        </w:rPr>
        <w:t>Puerto de embarque:</w:t>
      </w:r>
    </w:p>
    <w:p>
      <w:pPr>
        <w:pStyle w:val="style179"/>
        <w:numPr>
          <w:ilvl w:val="0"/>
          <w:numId w:val="11"/>
        </w:numPr>
        <w:jc w:val="both"/>
        <w:rPr>
          <w:rFonts w:ascii="Arial" w:cs="Arial" w:hAnsi="Arial"/>
          <w:sz w:val="24"/>
          <w:szCs w:val="24"/>
        </w:rPr>
      </w:pPr>
      <w:r>
        <w:rPr>
          <w:rFonts w:ascii="Arial" w:cs="Arial" w:hAnsi="Arial"/>
          <w:sz w:val="24"/>
          <w:szCs w:val="24"/>
        </w:rPr>
        <w:t>Vía: dato categórico</w:t>
      </w:r>
    </w:p>
    <w:p>
      <w:pPr>
        <w:pStyle w:val="style179"/>
        <w:numPr>
          <w:ilvl w:val="0"/>
          <w:numId w:val="11"/>
        </w:numPr>
        <w:jc w:val="both"/>
        <w:rPr>
          <w:rFonts w:ascii="Arial" w:cs="Arial" w:hAnsi="Arial"/>
          <w:sz w:val="24"/>
          <w:szCs w:val="24"/>
        </w:rPr>
      </w:pPr>
      <w:r>
        <w:rPr>
          <w:rFonts w:ascii="Arial" w:cs="Arial" w:hAnsi="Arial"/>
          <w:sz w:val="24"/>
          <w:szCs w:val="24"/>
        </w:rPr>
        <w:t>Zonas francas: dato  categórico</w:t>
      </w:r>
    </w:p>
    <w:p>
      <w:pPr>
        <w:pStyle w:val="style179"/>
        <w:numPr>
          <w:ilvl w:val="0"/>
          <w:numId w:val="11"/>
        </w:numPr>
        <w:jc w:val="both"/>
        <w:rPr>
          <w:rFonts w:ascii="Arial" w:cs="Arial" w:hAnsi="Arial"/>
          <w:sz w:val="24"/>
          <w:szCs w:val="24"/>
        </w:rPr>
      </w:pPr>
      <w:r>
        <w:rPr>
          <w:rFonts w:ascii="Arial" w:cs="Arial" w:hAnsi="Arial"/>
          <w:sz w:val="24"/>
          <w:szCs w:val="24"/>
        </w:rPr>
        <w:t>Arancel: dato categórico</w:t>
      </w:r>
    </w:p>
    <w:p>
      <w:pPr>
        <w:pStyle w:val="style179"/>
        <w:numPr>
          <w:ilvl w:val="0"/>
          <w:numId w:val="11"/>
        </w:numPr>
        <w:jc w:val="both"/>
        <w:rPr>
          <w:rFonts w:ascii="Arial" w:cs="Arial" w:hAnsi="Arial"/>
          <w:sz w:val="24"/>
          <w:szCs w:val="24"/>
        </w:rPr>
      </w:pPr>
      <w:r>
        <w:rPr>
          <w:rFonts w:ascii="Arial" w:cs="Arial" w:hAnsi="Arial"/>
          <w:sz w:val="24"/>
          <w:szCs w:val="24"/>
        </w:rPr>
        <w:t>Valor FOB: dato numérico</w:t>
      </w:r>
    </w:p>
    <w:p>
      <w:pPr>
        <w:pStyle w:val="style179"/>
        <w:numPr>
          <w:ilvl w:val="0"/>
          <w:numId w:val="11"/>
        </w:numPr>
        <w:jc w:val="both"/>
        <w:rPr>
          <w:rFonts w:ascii="Arial" w:cs="Arial" w:hAnsi="Arial"/>
          <w:sz w:val="24"/>
          <w:szCs w:val="24"/>
        </w:rPr>
      </w:pPr>
      <w:r>
        <w:rPr>
          <w:rFonts w:ascii="Arial" w:cs="Arial" w:hAnsi="Arial"/>
          <w:sz w:val="24"/>
          <w:szCs w:val="24"/>
        </w:rPr>
        <w:t>Peso Bruto: dato numérico</w:t>
      </w:r>
    </w:p>
    <w:p>
      <w:pPr>
        <w:pStyle w:val="style0"/>
        <w:jc w:val="both"/>
        <w:rPr>
          <w:rFonts w:ascii="Arial" w:cs="Arial" w:hAnsi="Arial"/>
          <w:sz w:val="24"/>
          <w:szCs w:val="24"/>
        </w:rPr>
      </w:pPr>
      <w:r>
        <w:rPr>
          <w:rFonts w:ascii="Arial" w:cs="Arial" w:hAnsi="Arial"/>
          <w:sz w:val="24"/>
          <w:szCs w:val="24"/>
        </w:rPr>
        <w:t>Análisis</w:t>
      </w:r>
    </w:p>
    <w:p>
      <w:pPr>
        <w:pStyle w:val="style179"/>
        <w:numPr>
          <w:ilvl w:val="0"/>
          <w:numId w:val="15"/>
        </w:numPr>
        <w:jc w:val="both"/>
        <w:rPr>
          <w:rFonts w:ascii="Arial" w:cs="Arial" w:hAnsi="Arial"/>
          <w:sz w:val="24"/>
          <w:szCs w:val="24"/>
        </w:rPr>
      </w:pPr>
      <w:r>
        <w:rPr>
          <w:rFonts w:ascii="Arial" w:cs="Arial" w:hAnsi="Arial"/>
          <w:sz w:val="24"/>
          <w:szCs w:val="24"/>
        </w:rPr>
        <w:t>¿Qué zona franca exporta la mayor cantidad de peso bruto?</w:t>
      </w:r>
    </w:p>
    <w:p>
      <w:pPr>
        <w:pStyle w:val="style179"/>
        <w:ind w:left="1428"/>
        <w:jc w:val="both"/>
        <w:rPr>
          <w:rFonts w:ascii="Arial" w:cs="Arial" w:hAnsi="Arial"/>
          <w:sz w:val="24"/>
          <w:szCs w:val="24"/>
        </w:rPr>
      </w:pPr>
      <w:r>
        <w:rPr>
          <w:rFonts w:ascii="Arial" w:cs="Arial" w:hAnsi="Arial"/>
          <w:sz w:val="24"/>
          <w:szCs w:val="24"/>
        </w:rPr>
        <w:t>En el periodo estudiado podemos observar que las exportaciones se hacen por tres zonas francas, en la siguiente grafica podemos observar la cantidad de exportación total en el periodo de 201</w:t>
      </w:r>
      <w:r>
        <w:rPr>
          <w:rFonts w:ascii="Arial" w:cs="Arial" w:hAnsi="Arial"/>
          <w:sz w:val="24"/>
          <w:szCs w:val="24"/>
        </w:rPr>
        <w:t>2</w:t>
      </w:r>
      <w:r>
        <w:rPr>
          <w:rFonts w:ascii="Arial" w:cs="Arial" w:hAnsi="Arial"/>
          <w:sz w:val="24"/>
          <w:szCs w:val="24"/>
        </w:rPr>
        <w:t xml:space="preserve"> a 20</w:t>
      </w:r>
      <w:r>
        <w:rPr>
          <w:rFonts w:ascii="Arial" w:cs="Arial" w:hAnsi="Arial"/>
          <w:sz w:val="24"/>
          <w:szCs w:val="24"/>
        </w:rPr>
        <w:t>16</w:t>
      </w: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r>
        <w:rPr>
          <w:noProof/>
        </w:rPr>
      </w:r>
      <w:r>
        <w:rPr>
          <w:noProof/>
        </w:rPr>
      </w:r>
      <w:r>
        <w:rPr>
          <w:noProof/>
        </w:rPr>
      </w:r>
      <w:r>
        <w:rPr>
          <w:noProof/>
        </w:rPr>
        <w:drawing>
          <wp:inline distL="114300" distT="0" distB="0" distR="114300">
            <wp:extent cx="4572000" cy="2743200"/>
            <wp:effectExtent l="0" t="0" r="0" b="0"/>
            <wp:docPr id="110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r>
        <w:rPr>
          <w:noProof/>
        </w:rPr>
      </w: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r>
        <w:rPr>
          <w:rFonts w:ascii="Arial" w:cs="Arial" w:hAnsi="Arial"/>
          <w:sz w:val="24"/>
          <w:szCs w:val="24"/>
        </w:rPr>
        <w:t xml:space="preserve">Como se puede observar en la gráfica anterior, la gran mayoría de las exportaciones son realizadas por </w:t>
      </w:r>
      <w:r>
        <w:rPr>
          <w:rFonts w:ascii="Arial" w:cs="Arial" w:hAnsi="Arial"/>
          <w:sz w:val="24"/>
          <w:szCs w:val="24"/>
        </w:rPr>
        <w:t>el Panamá Pacifico</w:t>
      </w:r>
    </w:p>
    <w:p>
      <w:pPr>
        <w:pStyle w:val="style0"/>
        <w:jc w:val="both"/>
        <w:rPr>
          <w:rFonts w:ascii="Arial" w:cs="Arial" w:hAnsi="Arial"/>
          <w:sz w:val="24"/>
          <w:szCs w:val="24"/>
        </w:rPr>
      </w:pPr>
    </w:p>
    <w:p>
      <w:pPr>
        <w:pStyle w:val="style179"/>
        <w:numPr>
          <w:ilvl w:val="0"/>
          <w:numId w:val="15"/>
        </w:numPr>
        <w:jc w:val="both"/>
        <w:rPr>
          <w:rFonts w:ascii="Arial" w:cs="Arial" w:hAnsi="Arial"/>
          <w:sz w:val="24"/>
          <w:szCs w:val="24"/>
        </w:rPr>
      </w:pPr>
      <w:r>
        <w:rPr>
          <w:rFonts w:ascii="Arial" w:cs="Arial" w:hAnsi="Arial"/>
          <w:sz w:val="24"/>
          <w:szCs w:val="24"/>
        </w:rPr>
        <w:t>¿Cuál ha sido el año en el que más se pagó FOB?</w:t>
      </w:r>
    </w:p>
    <w:p>
      <w:pPr>
        <w:pStyle w:val="style179"/>
        <w:ind w:left="1428"/>
        <w:jc w:val="both"/>
        <w:rPr>
          <w:rFonts w:ascii="Arial" w:cs="Arial" w:hAnsi="Arial"/>
          <w:sz w:val="24"/>
          <w:szCs w:val="24"/>
        </w:rPr>
      </w:pPr>
      <w:r>
        <w:rPr>
          <w:rFonts w:ascii="Arial" w:cs="Arial" w:hAnsi="Arial"/>
          <w:sz w:val="24"/>
          <w:szCs w:val="24"/>
        </w:rPr>
        <w:t>Este análisis lo podemos realizar con la siguiente gráfica, en la cual ordenamos por año, la cantidad de FOB que fue pagado por las zonas francas que estudiamos</w:t>
      </w: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r>
        <w:rPr>
          <w:noProof/>
        </w:rPr>
      </w:r>
      <w:r>
        <w:rPr>
          <w:noProof/>
        </w:rPr>
      </w:r>
      <w:r>
        <w:rPr>
          <w:noProof/>
        </w:rPr>
      </w:r>
      <w:r>
        <w:rPr>
          <w:noProof/>
        </w:rPr>
        <w:drawing>
          <wp:inline distL="114300" distT="0" distB="0" distR="114300">
            <wp:extent cx="4572000" cy="2743200"/>
            <wp:effectExtent l="0" t="0" r="0" b="0"/>
            <wp:docPr id="110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r>
        <w:rPr>
          <w:noProof/>
        </w:rPr>
      </w:r>
    </w:p>
    <w:p>
      <w:pPr>
        <w:pStyle w:val="style179"/>
        <w:ind w:left="1428"/>
        <w:jc w:val="both"/>
        <w:rPr>
          <w:rFonts w:ascii="Arial" w:cs="Arial" w:hAnsi="Arial"/>
          <w:sz w:val="24"/>
          <w:szCs w:val="24"/>
        </w:rPr>
      </w:pPr>
      <w:r>
        <w:rPr>
          <w:rFonts w:ascii="Arial" w:cs="Arial" w:hAnsi="Arial"/>
          <w:sz w:val="24"/>
          <w:szCs w:val="24"/>
        </w:rPr>
        <w:t>Podemos observar que el pago de FOB por año</w:t>
      </w:r>
      <w:r>
        <w:rPr>
          <w:rFonts w:ascii="Arial" w:cs="Arial" w:hAnsi="Arial"/>
          <w:sz w:val="24"/>
          <w:szCs w:val="24"/>
        </w:rPr>
        <w:t>. En 2012 hubieron perdidas significativas en la exportación de este producto ya para 2016 logramos recuperarnos</w:t>
      </w: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p>
    <w:p>
      <w:pPr>
        <w:pStyle w:val="style179"/>
        <w:numPr>
          <w:ilvl w:val="0"/>
          <w:numId w:val="15"/>
        </w:numPr>
        <w:jc w:val="both"/>
        <w:rPr>
          <w:rFonts w:ascii="Arial" w:cs="Arial" w:hAnsi="Arial"/>
          <w:sz w:val="24"/>
          <w:szCs w:val="24"/>
        </w:rPr>
      </w:pPr>
      <w:r>
        <w:rPr>
          <w:rFonts w:ascii="Arial" w:cs="Arial" w:hAnsi="Arial"/>
          <w:sz w:val="24"/>
          <w:szCs w:val="24"/>
        </w:rPr>
        <w:t>¿Cómo ha sido el comportamiento a través de los años de las exportaciones de este producto</w:t>
      </w:r>
      <w:r>
        <w:rPr>
          <w:rFonts w:ascii="Arial" w:cs="Arial" w:hAnsi="Arial"/>
          <w:sz w:val="24"/>
          <w:szCs w:val="24"/>
        </w:rPr>
        <w:t>?</w:t>
      </w:r>
    </w:p>
    <w:p>
      <w:pPr>
        <w:pStyle w:val="style179"/>
        <w:ind w:left="1428"/>
        <w:jc w:val="both"/>
        <w:rPr>
          <w:rFonts w:ascii="Arial" w:cs="Arial" w:hAnsi="Arial"/>
          <w:sz w:val="24"/>
          <w:szCs w:val="24"/>
        </w:rPr>
      </w:pPr>
      <w:r>
        <w:rPr>
          <w:rFonts w:ascii="Arial" w:cs="Arial" w:hAnsi="Arial"/>
          <w:sz w:val="24"/>
          <w:szCs w:val="24"/>
        </w:rPr>
        <w:t>En la siguiente grafica podemos observar por año como se ha comportado la cantidad total de exportaciones de este producto.</w:t>
      </w:r>
    </w:p>
    <w:p>
      <w:pPr>
        <w:pStyle w:val="style179"/>
        <w:ind w:left="1428"/>
        <w:jc w:val="both"/>
        <w:rPr>
          <w:rFonts w:ascii="Arial" w:cs="Arial" w:hAnsi="Arial"/>
          <w:sz w:val="24"/>
          <w:szCs w:val="24"/>
        </w:rPr>
      </w:pPr>
      <w:r>
        <w:rPr>
          <w:noProof/>
        </w:rPr>
      </w:r>
      <w:r>
        <w:rPr>
          <w:noProof/>
        </w:rPr>
      </w:r>
      <w:r>
        <w:rPr>
          <w:noProof/>
        </w:rPr>
      </w:r>
      <w:r>
        <w:rPr>
          <w:noProof/>
        </w:rPr>
        <w:drawing>
          <wp:inline distL="114300" distT="0" distB="0" distR="114300">
            <wp:extent cx="5612130" cy="2753995"/>
            <wp:effectExtent l="0" t="0" r="0" b="0"/>
            <wp:docPr id="110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r>
        <w:rPr>
          <w:noProof/>
        </w:rPr>
      </w: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r>
        <w:rPr>
          <w:rFonts w:ascii="Arial" w:cs="Arial" w:hAnsi="Arial"/>
          <w:sz w:val="24"/>
          <w:szCs w:val="24"/>
        </w:rPr>
        <w:t>Podemos observar que a diferencia del POB, el peso bruto se ha mantenido constante todos estos años teniendo una mejora considerable en 2021</w:t>
      </w: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r>
        <w:rPr>
          <w:rFonts w:ascii="Arial" w:cs="Arial" w:hAnsi="Arial"/>
          <w:sz w:val="24"/>
          <w:szCs w:val="24"/>
        </w:rPr>
        <w:t>Si observamos las exportaciones por año clasificado por zona franca podemos ver la razón de esto.</w:t>
      </w:r>
    </w:p>
    <w:p>
      <w:pPr>
        <w:pStyle w:val="style179"/>
        <w:ind w:left="1428"/>
        <w:jc w:val="both"/>
        <w:rPr>
          <w:rFonts w:ascii="Arial" w:cs="Arial" w:hAnsi="Arial"/>
          <w:sz w:val="24"/>
          <w:szCs w:val="24"/>
        </w:rPr>
      </w:pPr>
      <w:r>
        <w:rPr>
          <w:noProof/>
        </w:rPr>
      </w:r>
      <w:r>
        <w:rPr>
          <w:noProof/>
        </w:rPr>
      </w:r>
      <w:r>
        <w:rPr>
          <w:noProof/>
        </w:rPr>
      </w:r>
      <w:r>
        <w:rPr>
          <w:noProof/>
        </w:rPr>
        <w:drawing>
          <wp:inline distL="114300" distT="0" distB="0" distR="114300">
            <wp:extent cx="5612130" cy="2753995"/>
            <wp:effectExtent l="0" t="0" r="0" b="0"/>
            <wp:docPr id="110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r>
        <w:rPr>
          <w:noProof/>
        </w:rPr>
      </w: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p>
    <w:p>
      <w:pPr>
        <w:pStyle w:val="style179"/>
        <w:numPr>
          <w:ilvl w:val="0"/>
          <w:numId w:val="15"/>
        </w:numPr>
        <w:jc w:val="both"/>
        <w:rPr>
          <w:rFonts w:ascii="Arial" w:cs="Arial" w:hAnsi="Arial"/>
          <w:sz w:val="24"/>
          <w:szCs w:val="24"/>
        </w:rPr>
      </w:pPr>
      <w:r>
        <w:rPr>
          <w:rFonts w:ascii="Arial" w:cs="Arial" w:hAnsi="Arial"/>
          <w:sz w:val="24"/>
          <w:szCs w:val="24"/>
        </w:rPr>
        <w:t>¿Cuál es la vía preferida de transporte de este tipo de producto?</w:t>
      </w:r>
    </w:p>
    <w:p>
      <w:pPr>
        <w:pStyle w:val="style179"/>
        <w:ind w:left="1428"/>
        <w:jc w:val="both"/>
        <w:rPr>
          <w:rFonts w:ascii="Arial" w:cs="Arial" w:hAnsi="Arial"/>
          <w:sz w:val="24"/>
          <w:szCs w:val="24"/>
        </w:rPr>
      </w:pPr>
      <w:r>
        <w:rPr>
          <w:rFonts w:ascii="Arial" w:cs="Arial" w:hAnsi="Arial"/>
          <w:sz w:val="24"/>
          <w:szCs w:val="24"/>
        </w:rPr>
        <w:t xml:space="preserve">La vía preferida de exportación para este producto fue la </w:t>
      </w:r>
      <w:r>
        <w:rPr>
          <w:rFonts w:ascii="Arial" w:cs="Arial" w:hAnsi="Arial"/>
          <w:sz w:val="24"/>
          <w:szCs w:val="24"/>
        </w:rPr>
        <w:t>terrestre</w:t>
      </w:r>
      <w:r>
        <w:rPr>
          <w:rFonts w:ascii="Arial" w:cs="Arial" w:hAnsi="Arial"/>
          <w:sz w:val="24"/>
          <w:szCs w:val="24"/>
        </w:rPr>
        <w:t>, como se puede observar en la siguiente gráfica:</w:t>
      </w: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r>
        <w:rPr>
          <w:noProof/>
        </w:rPr>
      </w:r>
      <w:r>
        <w:rPr>
          <w:noProof/>
        </w:rPr>
      </w:r>
      <w:r>
        <w:rPr>
          <w:noProof/>
        </w:rPr>
      </w:r>
      <w:r>
        <w:rPr>
          <w:noProof/>
        </w:rPr>
        <w:drawing>
          <wp:inline distL="114300" distT="0" distB="0" distR="114300">
            <wp:extent cx="4572000" cy="2743200"/>
            <wp:effectExtent l="0" t="0" r="0" b="0"/>
            <wp:docPr id="111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r>
        <w:rPr>
          <w:noProof/>
        </w:rPr>
      </w: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p>
    <w:p>
      <w:pPr>
        <w:pStyle w:val="style179"/>
        <w:ind w:left="1428"/>
        <w:jc w:val="both"/>
        <w:rPr>
          <w:rFonts w:ascii="Arial" w:cs="Arial" w:hAnsi="Arial"/>
          <w:sz w:val="24"/>
          <w:szCs w:val="24"/>
        </w:rPr>
      </w:pPr>
    </w:p>
    <w:p>
      <w:pPr>
        <w:pStyle w:val="style179"/>
        <w:numPr>
          <w:ilvl w:val="0"/>
          <w:numId w:val="15"/>
        </w:numPr>
        <w:jc w:val="both"/>
        <w:rPr>
          <w:rFonts w:ascii="Arial" w:cs="Arial" w:hAnsi="Arial"/>
          <w:sz w:val="24"/>
          <w:szCs w:val="24"/>
        </w:rPr>
      </w:pPr>
      <w:r>
        <w:rPr>
          <w:rFonts w:ascii="Arial" w:cs="Arial" w:hAnsi="Arial"/>
          <w:sz w:val="24"/>
          <w:szCs w:val="24"/>
        </w:rPr>
        <w:t>¿Promedio de peso bruto exportado en el periodo estudiado?</w:t>
      </w:r>
    </w:p>
    <w:p>
      <w:pPr>
        <w:pStyle w:val="style179"/>
        <w:ind w:left="1428"/>
        <w:jc w:val="both"/>
        <w:rPr>
          <w:rFonts w:ascii="Arial" w:cs="Arial" w:hAnsi="Arial"/>
          <w:sz w:val="24"/>
          <w:szCs w:val="24"/>
        </w:rPr>
      </w:pPr>
      <w:r>
        <w:rPr>
          <w:rFonts w:ascii="Arial" w:cs="Arial" w:hAnsi="Arial"/>
          <w:sz w:val="24"/>
          <w:szCs w:val="24"/>
        </w:rPr>
        <w:t>Podemos ver el análisis de los datos numéricos del peso en la siguiente imagen</w:t>
      </w:r>
    </w:p>
    <w:p>
      <w:pPr>
        <w:pStyle w:val="style179"/>
        <w:ind w:left="1428"/>
        <w:jc w:val="center"/>
        <w:rPr>
          <w:rFonts w:ascii="Arial" w:cs="Arial" w:hAnsi="Arial"/>
          <w:sz w:val="24"/>
          <w:szCs w:val="24"/>
        </w:rPr>
      </w:pPr>
      <w:r>
        <w:rPr>
          <w:rFonts w:ascii="Arial" w:cs="Arial" w:hAnsi="Arial"/>
          <w:noProof/>
          <w:sz w:val="24"/>
          <w:szCs w:val="24"/>
        </w:rPr>
        <w:object>
          <v:shape id="1111" type="#_x0000_t75" filled="f" stroked="f" alt="Imagen que contiene Tabla&#10;&#10;Descripción generada automáticamente" style="margin-left:0.0pt;margin-top:0.0pt;width:267.79pt;height:84.01pt;mso-wrap-distance-left:0.0pt;mso-wrap-distance-right:0.0pt;visibility:visible;">
            <w10:anchorlock/>
            <v:imagedata r:id="rId59" embosscolor="white" o:title=""/>
            <v:fill/>
          </v:shape>
          <o:OLEObject Type="EMBED" ProgID="Excel.Chart.8" ShapeID="1111" DrawAspect="Content" ObjectID="0" r:id="rId60"/>
        </w:object>
      </w:r>
    </w:p>
    <w:p>
      <w:pPr>
        <w:pStyle w:val="style179"/>
        <w:ind w:left="1428"/>
        <w:jc w:val="center"/>
        <w:rPr>
          <w:rFonts w:ascii="Arial" w:cs="Arial" w:hAnsi="Arial"/>
          <w:sz w:val="24"/>
          <w:szCs w:val="24"/>
        </w:rPr>
      </w:pPr>
    </w:p>
    <w:p>
      <w:pPr>
        <w:pStyle w:val="style0"/>
        <w:rPr>
          <w:rFonts w:ascii="Arial" w:cs="Arial" w:hAnsi="Arial"/>
          <w:sz w:val="24"/>
          <w:szCs w:val="24"/>
        </w:rPr>
      </w:pPr>
    </w:p>
    <w:p>
      <w:pPr>
        <w:pStyle w:val="style179"/>
        <w:numPr>
          <w:ilvl w:val="0"/>
          <w:numId w:val="15"/>
        </w:numPr>
        <w:jc w:val="both"/>
        <w:rPr>
          <w:rFonts w:ascii="Arial" w:cs="Arial" w:hAnsi="Arial"/>
          <w:sz w:val="24"/>
          <w:szCs w:val="24"/>
        </w:rPr>
      </w:pPr>
      <w:r>
        <w:rPr>
          <w:rFonts w:ascii="Arial" w:cs="Arial" w:hAnsi="Arial"/>
          <w:sz w:val="24"/>
          <w:szCs w:val="24"/>
        </w:rPr>
        <w:t>¿Promedio de valor FOB pagado en el periodo estudiado?</w:t>
      </w:r>
    </w:p>
    <w:p>
      <w:pPr>
        <w:pStyle w:val="style179"/>
        <w:ind w:left="1428"/>
        <w:jc w:val="both"/>
        <w:rPr>
          <w:rFonts w:ascii="Arial" w:cs="Arial" w:hAnsi="Arial"/>
          <w:sz w:val="24"/>
          <w:szCs w:val="24"/>
        </w:rPr>
      </w:pPr>
      <w:r>
        <w:rPr>
          <w:rFonts w:ascii="Arial" w:cs="Arial" w:hAnsi="Arial"/>
          <w:sz w:val="24"/>
          <w:szCs w:val="24"/>
        </w:rPr>
        <w:t>Podemos ver el análisis de los datos numéricos del FOB en la siguiente imagen</w:t>
      </w:r>
    </w:p>
    <w:p>
      <w:pPr>
        <w:pStyle w:val="style179"/>
        <w:ind w:left="1428"/>
        <w:jc w:val="center"/>
        <w:rPr>
          <w:rFonts w:ascii="Arial" w:cs="Arial" w:hAnsi="Arial"/>
          <w:sz w:val="24"/>
          <w:szCs w:val="24"/>
        </w:rPr>
      </w:pPr>
      <w:r>
        <w:rPr>
          <w:rFonts w:ascii="Arial" w:cs="Arial" w:hAnsi="Arial"/>
          <w:noProof/>
          <w:sz w:val="24"/>
          <w:szCs w:val="24"/>
        </w:rPr>
        <w:drawing>
          <wp:inline distL="0" distT="0" distB="0" distR="0">
            <wp:extent cx="3381847" cy="1076475"/>
            <wp:effectExtent l="0" t="0" r="9525" b="9525"/>
            <wp:docPr id="1112" name="Imagen 1559704282" descr="Imagen que contiene Tabla&#10;&#10;Descripción generada automáticament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Imagen 1559704282"/>
                    <pic:cNvPicPr/>
                  </pic:nvPicPr>
                  <pic:blipFill>
                    <a:blip r:embed="rId61" cstate="print"/>
                    <a:srcRect l="0" t="0" r="0" b="0"/>
                    <a:stretch/>
                  </pic:blipFill>
                  <pic:spPr>
                    <a:xfrm rot="0">
                      <a:off x="0" y="0"/>
                      <a:ext cx="3381847" cy="1076475"/>
                    </a:xfrm>
                    <a:prstGeom prst="rect"/>
                  </pic:spPr>
                </pic:pic>
              </a:graphicData>
            </a:graphic>
          </wp:inline>
        </w:drawing>
      </w:r>
    </w:p>
    <w:p>
      <w:pPr>
        <w:pStyle w:val="style179"/>
        <w:ind w:left="1428"/>
        <w:jc w:val="center"/>
        <w:rPr>
          <w:rFonts w:ascii="Arial" w:cs="Arial" w:hAnsi="Arial"/>
          <w:sz w:val="24"/>
          <w:szCs w:val="24"/>
        </w:rPr>
      </w:pPr>
    </w:p>
    <w:p>
      <w:pPr>
        <w:pStyle w:val="style179"/>
        <w:ind w:left="1428"/>
        <w:jc w:val="center"/>
        <w:rPr>
          <w:rFonts w:ascii="Arial" w:cs="Arial" w:hAnsi="Arial"/>
          <w:sz w:val="24"/>
          <w:szCs w:val="24"/>
        </w:rPr>
      </w:pPr>
    </w:p>
    <w:p>
      <w:pPr>
        <w:pStyle w:val="style179"/>
        <w:ind w:left="1428"/>
        <w:jc w:val="center"/>
        <w:rPr>
          <w:rFonts w:ascii="Arial" w:cs="Arial" w:hAnsi="Arial"/>
          <w:sz w:val="24"/>
          <w:szCs w:val="24"/>
        </w:rPr>
      </w:pPr>
    </w:p>
    <w:p>
      <w:pPr>
        <w:pStyle w:val="style179"/>
        <w:ind w:left="1428"/>
        <w:jc w:val="center"/>
        <w:rPr>
          <w:rFonts w:ascii="Arial" w:cs="Arial" w:hAnsi="Arial"/>
          <w:sz w:val="24"/>
          <w:szCs w:val="24"/>
        </w:rPr>
      </w:pPr>
    </w:p>
    <w:p>
      <w:pPr>
        <w:pStyle w:val="style179"/>
        <w:ind w:left="1428"/>
        <w:jc w:val="center"/>
        <w:rPr>
          <w:rFonts w:ascii="Arial" w:cs="Arial" w:hAnsi="Arial"/>
          <w:sz w:val="24"/>
          <w:szCs w:val="24"/>
        </w:rPr>
      </w:pPr>
    </w:p>
    <w:p>
      <w:pPr>
        <w:pStyle w:val="style179"/>
        <w:ind w:left="1428"/>
        <w:jc w:val="center"/>
        <w:rPr>
          <w:rFonts w:ascii="Arial" w:cs="Arial" w:hAnsi="Arial"/>
          <w:sz w:val="24"/>
          <w:szCs w:val="24"/>
        </w:rPr>
      </w:pPr>
    </w:p>
    <w:p>
      <w:pPr>
        <w:pStyle w:val="style179"/>
        <w:ind w:left="1428"/>
        <w:jc w:val="center"/>
        <w:rPr>
          <w:rFonts w:ascii="Arial" w:cs="Arial" w:hAnsi="Arial"/>
          <w:sz w:val="24"/>
          <w:szCs w:val="24"/>
        </w:rPr>
      </w:pPr>
    </w:p>
    <w:p>
      <w:pPr>
        <w:pStyle w:val="style179"/>
        <w:ind w:left="1428"/>
        <w:jc w:val="center"/>
        <w:rPr>
          <w:rFonts w:ascii="Arial" w:cs="Arial" w:hAnsi="Arial"/>
          <w:sz w:val="24"/>
          <w:szCs w:val="24"/>
        </w:rPr>
      </w:pPr>
    </w:p>
    <w:p>
      <w:pPr>
        <w:pStyle w:val="style179"/>
        <w:ind w:left="1428"/>
        <w:jc w:val="center"/>
        <w:rPr>
          <w:rFonts w:ascii="Arial" w:cs="Arial" w:hAnsi="Arial"/>
          <w:sz w:val="24"/>
          <w:szCs w:val="24"/>
        </w:rPr>
      </w:pPr>
    </w:p>
    <w:p>
      <w:pPr>
        <w:pStyle w:val="style179"/>
        <w:ind w:left="1428"/>
        <w:jc w:val="center"/>
        <w:rPr>
          <w:rFonts w:ascii="Arial" w:cs="Arial" w:hAnsi="Arial"/>
          <w:sz w:val="24"/>
          <w:szCs w:val="24"/>
        </w:rPr>
      </w:pPr>
    </w:p>
    <w:p>
      <w:pPr>
        <w:pStyle w:val="style179"/>
        <w:ind w:left="1428"/>
        <w:jc w:val="center"/>
        <w:rPr>
          <w:rFonts w:ascii="Arial" w:cs="Arial" w:hAnsi="Arial"/>
          <w:sz w:val="24"/>
          <w:szCs w:val="24"/>
        </w:rPr>
      </w:pPr>
    </w:p>
    <w:p>
      <w:pPr>
        <w:pStyle w:val="style179"/>
        <w:ind w:left="1428"/>
        <w:jc w:val="center"/>
        <w:rPr>
          <w:rFonts w:ascii="Arial" w:cs="Arial" w:hAnsi="Arial"/>
          <w:sz w:val="24"/>
          <w:szCs w:val="24"/>
        </w:rPr>
      </w:pPr>
    </w:p>
    <w:p>
      <w:pPr>
        <w:pStyle w:val="style179"/>
        <w:ind w:left="1428"/>
        <w:jc w:val="center"/>
        <w:rPr>
          <w:rFonts w:ascii="Arial" w:cs="Arial" w:hAnsi="Arial"/>
          <w:sz w:val="24"/>
          <w:szCs w:val="24"/>
        </w:rPr>
      </w:pPr>
    </w:p>
    <w:p>
      <w:pPr>
        <w:pStyle w:val="style179"/>
        <w:ind w:left="1428"/>
        <w:jc w:val="center"/>
        <w:rPr>
          <w:rFonts w:ascii="Arial" w:cs="Arial" w:hAnsi="Arial"/>
          <w:sz w:val="24"/>
          <w:szCs w:val="24"/>
        </w:rPr>
      </w:pPr>
    </w:p>
    <w:p>
      <w:pPr>
        <w:pStyle w:val="style179"/>
        <w:ind w:left="1428"/>
        <w:jc w:val="center"/>
        <w:rPr>
          <w:rFonts w:ascii="Arial" w:cs="Arial" w:hAnsi="Arial"/>
          <w:sz w:val="24"/>
          <w:szCs w:val="24"/>
        </w:rPr>
      </w:pPr>
    </w:p>
    <w:p>
      <w:pPr>
        <w:pStyle w:val="style179"/>
        <w:ind w:left="1428"/>
        <w:jc w:val="center"/>
        <w:rPr>
          <w:rFonts w:ascii="Arial" w:cs="Arial" w:hAnsi="Arial"/>
          <w:sz w:val="24"/>
          <w:szCs w:val="24"/>
        </w:rPr>
      </w:pPr>
    </w:p>
    <w:p>
      <w:pPr>
        <w:pStyle w:val="style179"/>
        <w:ind w:left="1428"/>
        <w:jc w:val="center"/>
        <w:rPr>
          <w:rFonts w:ascii="Arial" w:cs="Arial" w:hAnsi="Arial"/>
          <w:sz w:val="24"/>
          <w:szCs w:val="24"/>
        </w:rPr>
      </w:pPr>
    </w:p>
    <w:p>
      <w:pPr>
        <w:pStyle w:val="style179"/>
        <w:ind w:left="1428"/>
        <w:jc w:val="center"/>
        <w:rPr>
          <w:rFonts w:ascii="Arial" w:cs="Arial" w:hAnsi="Arial"/>
          <w:sz w:val="24"/>
          <w:szCs w:val="24"/>
        </w:rPr>
      </w:pPr>
    </w:p>
    <w:p>
      <w:pPr>
        <w:pStyle w:val="style179"/>
        <w:ind w:left="1428"/>
        <w:jc w:val="center"/>
        <w:rPr>
          <w:rFonts w:ascii="Arial" w:cs="Arial" w:hAnsi="Arial"/>
          <w:sz w:val="24"/>
          <w:szCs w:val="24"/>
        </w:rPr>
      </w:pPr>
    </w:p>
    <w:p>
      <w:pPr>
        <w:pStyle w:val="style179"/>
        <w:ind w:left="1428"/>
        <w:jc w:val="center"/>
        <w:rPr>
          <w:rFonts w:ascii="Arial" w:cs="Arial" w:hAnsi="Arial"/>
          <w:sz w:val="24"/>
          <w:szCs w:val="24"/>
        </w:rPr>
      </w:pPr>
    </w:p>
    <w:p>
      <w:pPr>
        <w:pStyle w:val="style179"/>
        <w:numPr>
          <w:ilvl w:val="0"/>
          <w:numId w:val="15"/>
        </w:numPr>
        <w:jc w:val="both"/>
        <w:rPr>
          <w:rFonts w:ascii="Arial" w:cs="Arial" w:hAnsi="Arial"/>
          <w:sz w:val="24"/>
          <w:szCs w:val="24"/>
        </w:rPr>
      </w:pPr>
      <w:r>
        <w:rPr>
          <w:rFonts w:ascii="Arial" w:cs="Arial" w:hAnsi="Arial"/>
          <w:sz w:val="24"/>
          <w:szCs w:val="24"/>
        </w:rPr>
        <w:t>¿Cuál es la correlación entre peso bruto y valor FOB</w:t>
      </w:r>
    </w:p>
    <w:p>
      <w:pPr>
        <w:pStyle w:val="style179"/>
        <w:ind w:left="1428"/>
        <w:jc w:val="both"/>
        <w:rPr>
          <w:rFonts w:ascii="Arial" w:cs="Arial" w:hAnsi="Arial"/>
          <w:sz w:val="24"/>
          <w:szCs w:val="24"/>
        </w:rPr>
      </w:pPr>
      <w:r>
        <w:rPr>
          <w:rFonts w:ascii="Arial" w:cs="Arial" w:hAnsi="Arial"/>
          <w:sz w:val="24"/>
          <w:szCs w:val="24"/>
        </w:rPr>
        <w:t>Sacamos una regresión lineal para poder observar la relación entre estas dos variables. En las siguientes graficas podemos observar el resultado</w:t>
      </w:r>
    </w:p>
    <w:p>
      <w:pPr>
        <w:pStyle w:val="style179"/>
        <w:ind w:left="0"/>
        <w:jc w:val="both"/>
        <w:rPr>
          <w:rFonts w:ascii="Arial" w:cs="Arial" w:hAnsi="Arial"/>
          <w:sz w:val="24"/>
          <w:szCs w:val="24"/>
        </w:rPr>
      </w:pPr>
      <w:r>
        <w:rPr>
          <w:rFonts w:ascii="Arial" w:cs="Arial" w:hAnsi="Arial"/>
          <w:sz w:val="24"/>
          <w:szCs w:val="24"/>
        </w:rPr>
        <w:t>Para esta regresión lineal conseguimos la siguiente formula de y:</w:t>
      </w:r>
    </w:p>
    <w:p>
      <w:pPr>
        <w:pStyle w:val="style179"/>
        <w:ind w:left="0"/>
        <w:jc w:val="center"/>
        <w:rPr>
          <w:rFonts w:ascii="Arial" w:cs="Arial" w:hAnsi="Arial"/>
          <w:sz w:val="24"/>
          <w:szCs w:val="24"/>
        </w:rPr>
      </w:pPr>
      <w:r>
        <w:rPr>
          <w:noProof/>
        </w:rPr>
      </w:r>
      <w:r>
        <w:rPr>
          <w:noProof/>
        </w:rPr>
      </w:r>
      <w:r>
        <w:rPr>
          <w:noProof/>
        </w:rPr>
      </w:r>
      <w:r>
        <w:rPr>
          <w:noProof/>
        </w:rPr>
        <w:drawing>
          <wp:inline distL="114300" distT="0" distB="0" distR="114300">
            <wp:extent cx="4572000" cy="2743200"/>
            <wp:effectExtent l="0" t="0" r="0" b="0"/>
            <wp:docPr id="111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r>
        <w:rPr>
          <w:noProof/>
        </w:rPr>
      </w:r>
    </w:p>
    <w:p>
      <w:pPr>
        <w:pStyle w:val="style179"/>
        <w:ind w:left="0"/>
        <w:jc w:val="both"/>
        <w:rPr>
          <w:rFonts w:ascii="Arial" w:cs="Arial" w:hAnsi="Arial"/>
          <w:sz w:val="24"/>
          <w:szCs w:val="24"/>
        </w:rPr>
      </w:pPr>
    </w:p>
    <w:p>
      <w:pPr>
        <w:pStyle w:val="style179"/>
        <w:jc w:val="center"/>
        <w:rPr>
          <w:rFonts w:ascii="Cambria Math" w:cs="Arial" w:hAnsi="Cambria Math"/>
          <w:bCs/>
          <w:sz w:val="28"/>
          <w:szCs w:val="24"/>
          <w:lang w:val="en-US"/>
        </w:rPr>
      </w:pPr>
      <w:r>
        <w:rPr>
          <w:rFonts w:ascii="Cambria Math" w:cs="Arial" w:hAnsi="Cambria Math"/>
          <w:bCs/>
          <w:sz w:val="28"/>
          <w:szCs w:val="24"/>
          <w:lang w:val="en-US"/>
        </w:rPr>
        <w:t>y = 0.0204x + 0.382</w:t>
      </w:r>
    </w:p>
    <w:p>
      <w:pPr>
        <w:pStyle w:val="style179"/>
        <w:ind w:left="0"/>
        <w:jc w:val="both"/>
        <w:rPr>
          <w:rFonts w:ascii="Arial" w:cs="Arial" w:hAnsi="Arial"/>
          <w:sz w:val="24"/>
          <w:szCs w:val="24"/>
        </w:rPr>
      </w:pPr>
      <w:r>
        <w:rPr>
          <w:rFonts w:ascii="Arial" w:cs="Arial" w:hAnsi="Arial"/>
          <w:sz w:val="24"/>
          <w:szCs w:val="24"/>
        </w:rPr>
        <w:t>Para esta fórmula podemos analizar los rangos de confianza al 95% para la intercepción y el la variable x1</w:t>
      </w:r>
    </w:p>
    <w:p>
      <w:pPr>
        <w:pStyle w:val="style179"/>
        <w:jc w:val="both"/>
        <w:rPr>
          <w:rFonts w:ascii="Arial" w:cs="Arial" w:hAnsi="Arial"/>
          <w:sz w:val="24"/>
          <w:szCs w:val="24"/>
        </w:rPr>
      </w:pPr>
    </w:p>
    <w:p>
      <w:pPr>
        <w:pStyle w:val="style179"/>
        <w:jc w:val="center"/>
        <w:rPr>
          <w:rFonts w:ascii="Arial" w:cs="Arial" w:hAnsi="Arial"/>
          <w:sz w:val="24"/>
          <w:szCs w:val="24"/>
        </w:rPr>
      </w:pPr>
      <w:r>
        <w:rPr>
          <w:rFonts w:ascii="Arial" w:cs="Arial" w:hAnsi="Arial"/>
          <w:noProof/>
          <w:sz w:val="24"/>
          <w:szCs w:val="24"/>
        </w:rPr>
        <w:object>
          <v:shape id="1115" type="#_x0000_t75" filled="f" stroked="f" alt="Tabla&#10;&#10;Descripción generada automáticamente" style="margin-left:0.0pt;margin-top:0.0pt;width:242.28pt;height:120.77pt;mso-wrap-distance-left:0.0pt;mso-wrap-distance-right:0.0pt;visibility:visible;">
            <w10:anchorlock/>
            <v:imagedata r:id="rId63" embosscolor="white" o:title=""/>
            <v:fill/>
          </v:shape>
          <o:OLEObject Type="EMBED" ProgID="Excel.Chart.8" ShapeID="1115" DrawAspect="Content" ObjectID="0" r:id="rId64"/>
        </w:object>
      </w:r>
    </w:p>
    <w:p>
      <w:pPr>
        <w:pStyle w:val="style0"/>
        <w:jc w:val="both"/>
        <w:rPr>
          <w:rFonts w:ascii="Arial" w:cs="Arial" w:hAnsi="Arial"/>
          <w:sz w:val="24"/>
          <w:szCs w:val="24"/>
        </w:rPr>
      </w:pPr>
      <w:r>
        <w:rPr>
          <w:rFonts w:ascii="Arial" w:cs="Arial" w:hAnsi="Arial"/>
          <w:sz w:val="24"/>
          <w:szCs w:val="24"/>
        </w:rPr>
        <w:t>El intervalo de confianza al 95% para la intercepción (β0) y el coeficiente de x1 (β1) nos indica que, si tomamos muchas muestras diferentes y calculamos el intervalo de confianza para cada muestra, aproximadamente el 95% de esos intervalos contendrían los verdaderos valores poblacionales de la intercepción y el coeficiente de x1.</w:t>
      </w:r>
    </w:p>
    <w:p>
      <w:pPr>
        <w:pStyle w:val="style179"/>
        <w:jc w:val="both"/>
        <w:rPr>
          <w:rFonts w:ascii="Arial" w:cs="Arial" w:hAnsi="Arial"/>
          <w:sz w:val="24"/>
          <w:szCs w:val="24"/>
        </w:rPr>
      </w:pPr>
    </w:p>
    <w:p>
      <w:pPr>
        <w:pStyle w:val="style179"/>
        <w:jc w:val="both"/>
        <w:rPr>
          <w:rFonts w:ascii="Arial" w:cs="Arial" w:hAnsi="Arial"/>
          <w:sz w:val="24"/>
          <w:szCs w:val="24"/>
        </w:rPr>
      </w:pPr>
    </w:p>
    <w:p>
      <w:pPr>
        <w:pStyle w:val="style179"/>
        <w:jc w:val="both"/>
        <w:rPr>
          <w:rFonts w:ascii="Arial" w:cs="Arial" w:hAnsi="Arial"/>
          <w:sz w:val="24"/>
          <w:szCs w:val="24"/>
        </w:rPr>
      </w:pPr>
    </w:p>
    <w:p>
      <w:pPr>
        <w:pStyle w:val="style0"/>
        <w:jc w:val="both"/>
        <w:rPr>
          <w:rFonts w:ascii="Arial" w:cs="Arial" w:hAnsi="Arial"/>
          <w:sz w:val="24"/>
          <w:szCs w:val="24"/>
        </w:rPr>
      </w:pPr>
    </w:p>
    <w:p>
      <w:pPr>
        <w:pStyle w:val="style179"/>
        <w:jc w:val="both"/>
        <w:rPr>
          <w:rFonts w:ascii="Arial" w:cs="Arial" w:hAnsi="Arial"/>
          <w:sz w:val="24"/>
          <w:szCs w:val="24"/>
        </w:rPr>
      </w:pPr>
    </w:p>
    <w:p>
      <w:pPr>
        <w:pStyle w:val="style179"/>
        <w:jc w:val="both"/>
        <w:rPr>
          <w:rFonts w:ascii="Arial" w:cs="Arial" w:hAnsi="Arial"/>
          <w:sz w:val="24"/>
          <w:szCs w:val="24"/>
        </w:rPr>
      </w:pPr>
    </w:p>
    <w:p>
      <w:pPr>
        <w:pStyle w:val="style179"/>
        <w:jc w:val="both"/>
        <w:rPr>
          <w:rFonts w:ascii="Arial" w:cs="Arial" w:hAnsi="Arial"/>
          <w:sz w:val="24"/>
          <w:szCs w:val="24"/>
        </w:rPr>
      </w:pPr>
      <w:r>
        <w:rPr>
          <w:rFonts w:ascii="Arial" w:cs="Arial" w:hAnsi="Arial"/>
          <w:sz w:val="24"/>
          <w:szCs w:val="24"/>
        </w:rPr>
        <w:t>En la siguiente tabla podemos ver los datos de esta regresión:</w:t>
      </w:r>
    </w:p>
    <w:p>
      <w:pPr>
        <w:pStyle w:val="style179"/>
        <w:jc w:val="both"/>
        <w:rPr>
          <w:rFonts w:ascii="Arial" w:cs="Arial" w:hAnsi="Arial"/>
          <w:sz w:val="24"/>
          <w:szCs w:val="24"/>
        </w:rPr>
      </w:pPr>
    </w:p>
    <w:p>
      <w:pPr>
        <w:pStyle w:val="style179"/>
        <w:jc w:val="center"/>
        <w:rPr>
          <w:rFonts w:ascii="Arial" w:cs="Arial" w:hAnsi="Arial"/>
          <w:sz w:val="24"/>
          <w:szCs w:val="24"/>
        </w:rPr>
      </w:pPr>
      <w:r>
        <w:rPr>
          <w:rFonts w:ascii="Arial" w:cs="Arial" w:hAnsi="Arial"/>
          <w:noProof/>
          <w:sz w:val="24"/>
          <w:szCs w:val="24"/>
        </w:rPr>
        <w:drawing>
          <wp:inline distL="0" distT="0" distB="0" distR="0">
            <wp:extent cx="4229690" cy="1705213"/>
            <wp:effectExtent l="0" t="0" r="0" b="9525"/>
            <wp:docPr id="1116" name="Imagen 554199876" descr="Tabla&#10;&#10;Descripción generada automáticament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Imagen 554199876"/>
                    <pic:cNvPicPr/>
                  </pic:nvPicPr>
                  <pic:blipFill>
                    <a:blip r:embed="rId65" cstate="print"/>
                    <a:srcRect l="0" t="0" r="0" b="0"/>
                    <a:stretch/>
                  </pic:blipFill>
                  <pic:spPr>
                    <a:xfrm rot="0">
                      <a:off x="0" y="0"/>
                      <a:ext cx="4229690" cy="1705213"/>
                    </a:xfrm>
                    <a:prstGeom prst="rect"/>
                  </pic:spPr>
                </pic:pic>
              </a:graphicData>
            </a:graphic>
          </wp:inline>
        </w:drawing>
      </w:r>
    </w:p>
    <w:p>
      <w:pPr>
        <w:pStyle w:val="style179"/>
        <w:jc w:val="both"/>
        <w:rPr>
          <w:rFonts w:ascii="Arial" w:cs="Arial" w:hAnsi="Arial"/>
          <w:sz w:val="24"/>
          <w:szCs w:val="24"/>
        </w:rPr>
      </w:pPr>
    </w:p>
    <w:p>
      <w:pPr>
        <w:pStyle w:val="style0"/>
        <w:jc w:val="both"/>
        <w:rPr>
          <w:rFonts w:ascii="Arial" w:cs="Arial" w:hAnsi="Arial"/>
          <w:sz w:val="24"/>
          <w:szCs w:val="24"/>
        </w:rPr>
      </w:pPr>
      <w:r>
        <w:rPr>
          <w:rFonts w:ascii="Arial" w:cs="Arial" w:hAnsi="Arial"/>
          <w:sz w:val="24"/>
          <w:szCs w:val="24"/>
        </w:rPr>
        <w:t>Podemos observar como el valor de R^2 está muy lejos de 1, lo que nos indica que no existe una relación fuerte entre las variables</w:t>
      </w:r>
    </w:p>
    <w:p>
      <w:pPr>
        <w:pStyle w:val="style0"/>
        <w:jc w:val="both"/>
        <w:rPr>
          <w:rFonts w:ascii="Arial" w:cs="Arial" w:hAnsi="Arial"/>
          <w:sz w:val="24"/>
          <w:szCs w:val="24"/>
        </w:rPr>
      </w:pPr>
      <w:r>
        <w:rPr>
          <w:rFonts w:ascii="Arial" w:cs="Arial" w:hAnsi="Arial"/>
          <w:sz w:val="24"/>
          <w:szCs w:val="24"/>
        </w:rPr>
        <w:t xml:space="preserve">A continuación formulamos nuestras hipótesis </w:t>
      </w:r>
    </w:p>
    <w:p>
      <w:pPr>
        <w:pStyle w:val="style0"/>
        <w:jc w:val="both"/>
        <w:rPr>
          <w:rFonts w:ascii="Arial" w:cs="Arial" w:hAnsi="Arial"/>
          <w:sz w:val="24"/>
          <w:szCs w:val="24"/>
        </w:rPr>
      </w:pPr>
      <w:r>
        <w:rPr>
          <w:rFonts w:ascii="Arial" w:cs="Arial" w:hAnsi="Arial"/>
          <w:sz w:val="24"/>
          <w:szCs w:val="24"/>
        </w:rPr>
        <w:t>Hipótesis nula (H0):</w:t>
      </w:r>
    </w:p>
    <w:p>
      <w:pPr>
        <w:pStyle w:val="style0"/>
        <w:jc w:val="both"/>
        <w:rPr>
          <w:rFonts w:ascii="Arial" w:cs="Arial" w:hAnsi="Arial"/>
          <w:sz w:val="24"/>
          <w:szCs w:val="24"/>
        </w:rPr>
      </w:pPr>
      <w:r>
        <w:rPr>
          <w:rFonts w:ascii="Arial" w:cs="Arial" w:hAnsi="Arial"/>
          <w:sz w:val="24"/>
          <w:szCs w:val="24"/>
        </w:rPr>
        <w:t>No hay relación significativa entre el peso y el valor FOB. En términos de coeficientes de regresión, esto se expresa como:</w:t>
      </w:r>
    </w:p>
    <w:p>
      <w:pPr>
        <w:pStyle w:val="style0"/>
        <w:jc w:val="both"/>
        <w:rPr>
          <w:rFonts w:ascii="Arial" w:cs="Arial" w:hAnsi="Arial"/>
          <w:sz w:val="24"/>
          <w:szCs w:val="24"/>
        </w:rPr>
      </w:pPr>
      <w:r>
        <w:rPr>
          <w:rFonts w:ascii="Arial" w:cs="Arial" w:hAnsi="Arial"/>
          <w:sz w:val="24"/>
          <w:szCs w:val="24"/>
        </w:rPr>
        <w:t>H0: El coeficiente de la variab</w:t>
      </w:r>
      <w:r>
        <w:rPr>
          <w:rFonts w:ascii="Arial" w:cs="Arial" w:hAnsi="Arial"/>
          <w:sz w:val="24"/>
          <w:szCs w:val="24"/>
        </w:rPr>
        <w:t>le "peso" (β1) es igual a cero.</w:t>
      </w:r>
    </w:p>
    <w:p>
      <w:pPr>
        <w:pStyle w:val="style0"/>
        <w:jc w:val="both"/>
        <w:rPr>
          <w:rFonts w:ascii="Arial" w:cs="Arial" w:hAnsi="Arial"/>
          <w:sz w:val="24"/>
          <w:szCs w:val="24"/>
        </w:rPr>
      </w:pPr>
      <w:r>
        <w:rPr>
          <w:rFonts w:ascii="Arial" w:cs="Arial" w:hAnsi="Arial"/>
          <w:sz w:val="24"/>
          <w:szCs w:val="24"/>
        </w:rPr>
        <w:t>Esto significa que la variable "peso" no tiene un efecto significativo sobre el "valor FOB" y que cualquier variación en el valor FOB no se debe a cambios en el peso.</w:t>
      </w:r>
    </w:p>
    <w:p>
      <w:pPr>
        <w:pStyle w:val="style0"/>
        <w:jc w:val="both"/>
        <w:rPr>
          <w:rFonts w:ascii="Arial" w:cs="Arial" w:hAnsi="Arial"/>
          <w:sz w:val="24"/>
          <w:szCs w:val="24"/>
        </w:rPr>
      </w:pPr>
    </w:p>
    <w:p>
      <w:pPr>
        <w:pStyle w:val="style0"/>
        <w:jc w:val="both"/>
        <w:rPr>
          <w:rFonts w:ascii="Arial" w:cs="Arial" w:hAnsi="Arial"/>
          <w:sz w:val="24"/>
          <w:szCs w:val="24"/>
        </w:rPr>
      </w:pPr>
      <w:r>
        <w:rPr>
          <w:rFonts w:ascii="Arial" w:cs="Arial" w:hAnsi="Arial"/>
          <w:sz w:val="24"/>
          <w:szCs w:val="24"/>
        </w:rPr>
        <w:t>Hipótesis alternativa (H1</w:t>
      </w:r>
      <w:r>
        <w:rPr>
          <w:rFonts w:ascii="Arial" w:cs="Arial" w:hAnsi="Arial"/>
          <w:sz w:val="24"/>
          <w:szCs w:val="24"/>
        </w:rPr>
        <w:t>):</w:t>
      </w:r>
    </w:p>
    <w:p>
      <w:pPr>
        <w:pStyle w:val="style0"/>
        <w:jc w:val="both"/>
        <w:rPr>
          <w:rFonts w:ascii="Arial" w:cs="Arial" w:hAnsi="Arial"/>
          <w:sz w:val="24"/>
          <w:szCs w:val="24"/>
        </w:rPr>
      </w:pPr>
      <w:r>
        <w:rPr>
          <w:rFonts w:ascii="Arial" w:cs="Arial" w:hAnsi="Arial"/>
          <w:sz w:val="24"/>
          <w:szCs w:val="24"/>
        </w:rPr>
        <w:t>Existe una relación significativa entre el peso y el valor FOB. En términos de coeficientes de r</w:t>
      </w:r>
      <w:r>
        <w:rPr>
          <w:rFonts w:ascii="Arial" w:cs="Arial" w:hAnsi="Arial"/>
          <w:sz w:val="24"/>
          <w:szCs w:val="24"/>
        </w:rPr>
        <w:t>egresión, esto se expresa como:</w:t>
      </w:r>
    </w:p>
    <w:p>
      <w:pPr>
        <w:pStyle w:val="style0"/>
        <w:jc w:val="both"/>
        <w:rPr>
          <w:rFonts w:ascii="Arial" w:cs="Arial" w:hAnsi="Arial"/>
          <w:sz w:val="24"/>
          <w:szCs w:val="24"/>
        </w:rPr>
      </w:pPr>
      <w:r>
        <w:rPr>
          <w:rFonts w:ascii="Arial" w:cs="Arial" w:hAnsi="Arial"/>
          <w:sz w:val="24"/>
          <w:szCs w:val="24"/>
        </w:rPr>
        <w:t>Ha: El coeficiente de la variable "p</w:t>
      </w:r>
      <w:r>
        <w:rPr>
          <w:rFonts w:ascii="Arial" w:cs="Arial" w:hAnsi="Arial"/>
          <w:sz w:val="24"/>
          <w:szCs w:val="24"/>
        </w:rPr>
        <w:t>eso" (β1) es diferente de cero.</w:t>
      </w:r>
    </w:p>
    <w:p>
      <w:pPr>
        <w:pStyle w:val="style0"/>
        <w:jc w:val="both"/>
        <w:rPr>
          <w:rFonts w:ascii="Arial" w:cs="Arial" w:hAnsi="Arial"/>
          <w:sz w:val="24"/>
          <w:szCs w:val="24"/>
        </w:rPr>
      </w:pPr>
      <w:r>
        <w:rPr>
          <w:rFonts w:ascii="Arial" w:cs="Arial" w:hAnsi="Arial"/>
          <w:sz w:val="24"/>
          <w:szCs w:val="24"/>
        </w:rPr>
        <w:t>Esto sugiere que el peso sí tiene un efecto significativo sobre el "valor FOB" y que cambios en el peso están relacionados con variaciones en el valor FOB.</w:t>
      </w:r>
    </w:p>
    <w:p>
      <w:pPr>
        <w:pStyle w:val="style0"/>
        <w:jc w:val="both"/>
        <w:rPr>
          <w:rFonts w:ascii="Arial" w:cs="Arial" w:hAnsi="Arial"/>
          <w:sz w:val="24"/>
          <w:szCs w:val="24"/>
        </w:rPr>
      </w:pPr>
    </w:p>
    <w:p>
      <w:pPr>
        <w:pStyle w:val="style0"/>
        <w:jc w:val="both"/>
        <w:rPr>
          <w:rFonts w:ascii="Arial" w:cs="Arial" w:hAnsi="Arial"/>
          <w:sz w:val="24"/>
          <w:szCs w:val="24"/>
        </w:rPr>
      </w:pPr>
      <w:r>
        <w:rPr>
          <w:rFonts w:ascii="Arial" w:cs="Arial" w:hAnsi="Arial"/>
          <w:sz w:val="24"/>
          <w:szCs w:val="24"/>
        </w:rPr>
        <w:t>También podemos realizar la prueba de F para rechazar la hipótesis nula con los datos de ANOVA</w:t>
      </w:r>
    </w:p>
    <w:p>
      <w:pPr>
        <w:pStyle w:val="style0"/>
        <w:jc w:val="both"/>
        <w:rPr>
          <w:rFonts w:ascii="Arial" w:cs="Arial" w:hAnsi="Arial"/>
          <w:sz w:val="24"/>
          <w:szCs w:val="24"/>
        </w:rPr>
      </w:pPr>
      <w:r>
        <w:rPr>
          <w:rFonts w:ascii="Arial" w:cs="Arial" w:hAnsi="Arial"/>
          <w:noProof/>
          <w:sz w:val="24"/>
          <w:szCs w:val="24"/>
        </w:rPr>
        <w:drawing>
          <wp:inline distL="0" distT="0" distB="0" distR="0">
            <wp:extent cx="5764530" cy="587019"/>
            <wp:effectExtent l="0" t="0" r="0" b="3810"/>
            <wp:docPr id="1117" name="Imagen 109139697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Imagen 1091396978"/>
                    <pic:cNvPicPr/>
                  </pic:nvPicPr>
                  <pic:blipFill>
                    <a:blip r:embed="rId66" cstate="print"/>
                    <a:srcRect l="0" t="0" r="0" b="0"/>
                    <a:stretch/>
                  </pic:blipFill>
                  <pic:spPr>
                    <a:xfrm rot="0">
                      <a:off x="0" y="0"/>
                      <a:ext cx="5764530" cy="587019"/>
                    </a:xfrm>
                    <a:prstGeom prst="rect"/>
                  </pic:spPr>
                </pic:pic>
              </a:graphicData>
            </a:graphic>
          </wp:inline>
        </w:drawing>
      </w:r>
    </w:p>
    <w:p>
      <w:pPr>
        <w:pStyle w:val="style0"/>
        <w:jc w:val="both"/>
        <w:rPr>
          <w:rFonts w:ascii="Arial" w:cs="Arial" w:hAnsi="Arial"/>
          <w:sz w:val="24"/>
          <w:szCs w:val="24"/>
        </w:rPr>
      </w:pPr>
      <w:r>
        <w:rPr>
          <w:rFonts w:ascii="Arial" w:cs="Arial" w:hAnsi="Arial"/>
          <w:sz w:val="24"/>
          <w:szCs w:val="24"/>
        </w:rPr>
        <w:t>Por lo tanto podemos concluir que existe una relación significativa y la regresión lineal consigue explicar gran parte de la variabilidad observada</w:t>
      </w:r>
    </w:p>
    <w:p>
      <w:pPr>
        <w:pStyle w:val="style0"/>
        <w:jc w:val="both"/>
        <w:rPr>
          <w:rFonts w:ascii="Arial" w:cs="Arial" w:hAnsi="Arial"/>
          <w:sz w:val="24"/>
          <w:szCs w:val="24"/>
        </w:rPr>
      </w:pPr>
    </w:p>
    <w:p>
      <w:pPr>
        <w:pStyle w:val="style179"/>
        <w:jc w:val="center"/>
        <w:rPr>
          <w:rFonts w:ascii="Arial" w:cs="Arial" w:hAnsi="Arial"/>
          <w:sz w:val="28"/>
          <w:szCs w:val="24"/>
        </w:rPr>
      </w:pPr>
    </w:p>
    <w:p>
      <w:pPr>
        <w:pStyle w:val="style0"/>
        <w:jc w:val="both"/>
        <w:rPr>
          <w:rFonts w:ascii="Arial" w:cs="Arial" w:hAnsi="Arial"/>
          <w:sz w:val="24"/>
          <w:szCs w:val="24"/>
        </w:rPr>
      </w:pPr>
    </w:p>
    <w:p>
      <w:pPr>
        <w:pStyle w:val="style179"/>
        <w:ind w:left="0"/>
        <w:jc w:val="both"/>
        <w:rPr>
          <w:rFonts w:ascii="Arial" w:cs="Arial" w:hAnsi="Arial"/>
          <w:sz w:val="24"/>
          <w:szCs w:val="24"/>
        </w:rPr>
      </w:pPr>
    </w:p>
    <w:p>
      <w:pPr>
        <w:pStyle w:val="style179"/>
        <w:ind w:left="0"/>
        <w:jc w:val="both"/>
        <w:rPr>
          <w:rFonts w:ascii="Arial" w:cs="Arial" w:hAnsi="Arial"/>
          <w:sz w:val="24"/>
          <w:szCs w:val="24"/>
        </w:rPr>
      </w:pPr>
    </w:p>
    <w:p>
      <w:pPr>
        <w:pStyle w:val="style179"/>
        <w:ind w:left="0"/>
        <w:jc w:val="both"/>
        <w:rPr>
          <w:rFonts w:ascii="Arial" w:cs="Arial" w:hAnsi="Arial"/>
          <w:sz w:val="24"/>
          <w:szCs w:val="24"/>
        </w:rPr>
      </w:pPr>
    </w:p>
    <w:p>
      <w:pPr>
        <w:pStyle w:val="style179"/>
        <w:ind w:left="0"/>
        <w:jc w:val="both"/>
        <w:rPr>
          <w:rFonts w:ascii="Arial" w:cs="Arial" w:hAnsi="Arial"/>
          <w:sz w:val="24"/>
          <w:szCs w:val="24"/>
        </w:rPr>
      </w:pPr>
    </w:p>
    <w:p>
      <w:pPr>
        <w:pStyle w:val="style179"/>
        <w:ind w:left="0"/>
        <w:jc w:val="both"/>
        <w:rPr>
          <w:rFonts w:ascii="Arial" w:cs="Arial" w:hAnsi="Arial"/>
          <w:sz w:val="24"/>
          <w:szCs w:val="24"/>
        </w:rPr>
      </w:pPr>
    </w:p>
    <w:p>
      <w:pPr>
        <w:pStyle w:val="style179"/>
        <w:ind w:left="0"/>
        <w:jc w:val="both"/>
        <w:rPr>
          <w:rFonts w:ascii="Arial" w:cs="Arial" w:hAnsi="Arial"/>
          <w:sz w:val="24"/>
          <w:szCs w:val="24"/>
        </w:rPr>
      </w:pPr>
    </w:p>
    <w:p>
      <w:pPr>
        <w:pStyle w:val="style179"/>
        <w:ind w:left="0"/>
        <w:jc w:val="both"/>
        <w:rPr>
          <w:rFonts w:ascii="Arial" w:cs="Arial" w:hAnsi="Arial"/>
          <w:sz w:val="24"/>
          <w:szCs w:val="24"/>
        </w:rPr>
      </w:pPr>
    </w:p>
    <w:p>
      <w:pPr>
        <w:pStyle w:val="style179"/>
        <w:ind w:left="0"/>
        <w:jc w:val="both"/>
        <w:rPr>
          <w:rFonts w:ascii="Arial" w:cs="Arial" w:hAnsi="Arial"/>
          <w:sz w:val="24"/>
          <w:szCs w:val="24"/>
        </w:rPr>
      </w:pPr>
    </w:p>
    <w:p>
      <w:pPr>
        <w:pStyle w:val="style179"/>
        <w:ind w:left="0"/>
        <w:jc w:val="both"/>
        <w:rPr>
          <w:rFonts w:ascii="Arial" w:cs="Arial" w:hAnsi="Arial"/>
          <w:sz w:val="24"/>
          <w:szCs w:val="24"/>
        </w:rPr>
      </w:pPr>
    </w:p>
    <w:p>
      <w:pPr>
        <w:pStyle w:val="style179"/>
        <w:ind w:left="0"/>
        <w:jc w:val="both"/>
        <w:rPr>
          <w:rFonts w:ascii="Arial" w:cs="Arial" w:hAnsi="Arial"/>
          <w:sz w:val="24"/>
          <w:szCs w:val="24"/>
        </w:rPr>
      </w:pPr>
    </w:p>
    <w:p>
      <w:pPr>
        <w:pStyle w:val="style179"/>
        <w:ind w:left="0"/>
        <w:jc w:val="both"/>
        <w:rPr>
          <w:rFonts w:ascii="Arial" w:cs="Arial" w:hAnsi="Arial"/>
          <w:sz w:val="24"/>
          <w:szCs w:val="24"/>
        </w:rPr>
      </w:pPr>
    </w:p>
    <w:p>
      <w:pPr>
        <w:pStyle w:val="style179"/>
        <w:ind w:left="0"/>
        <w:jc w:val="both"/>
        <w:rPr>
          <w:rFonts w:ascii="Arial" w:cs="Arial" w:hAnsi="Arial"/>
          <w:sz w:val="24"/>
          <w:szCs w:val="24"/>
        </w:rPr>
      </w:pPr>
    </w:p>
    <w:p>
      <w:pPr>
        <w:pStyle w:val="style179"/>
        <w:ind w:left="0"/>
        <w:jc w:val="both"/>
        <w:rPr>
          <w:rFonts w:ascii="Arial" w:cs="Arial" w:hAnsi="Arial"/>
          <w:sz w:val="24"/>
          <w:szCs w:val="24"/>
        </w:rPr>
      </w:pPr>
    </w:p>
    <w:p>
      <w:pPr>
        <w:pStyle w:val="style179"/>
        <w:ind w:left="0"/>
        <w:jc w:val="both"/>
        <w:rPr>
          <w:rFonts w:ascii="Arial" w:cs="Arial" w:hAnsi="Arial"/>
          <w:sz w:val="24"/>
          <w:szCs w:val="24"/>
        </w:rPr>
      </w:pPr>
    </w:p>
    <w:p>
      <w:pPr>
        <w:pStyle w:val="style179"/>
        <w:ind w:left="0"/>
        <w:jc w:val="both"/>
        <w:rPr>
          <w:rFonts w:ascii="Arial" w:cs="Arial" w:hAnsi="Arial"/>
          <w:sz w:val="24"/>
          <w:szCs w:val="24"/>
        </w:rPr>
      </w:pPr>
    </w:p>
    <w:p>
      <w:pPr>
        <w:pStyle w:val="style179"/>
        <w:ind w:left="0"/>
        <w:jc w:val="both"/>
        <w:rPr>
          <w:rFonts w:ascii="Arial" w:cs="Arial" w:hAnsi="Arial"/>
          <w:sz w:val="24"/>
          <w:szCs w:val="24"/>
        </w:rPr>
      </w:pPr>
    </w:p>
    <w:p>
      <w:pPr>
        <w:pStyle w:val="style179"/>
        <w:ind w:left="0"/>
        <w:jc w:val="both"/>
        <w:rPr>
          <w:rFonts w:ascii="Arial" w:cs="Arial" w:hAnsi="Arial"/>
          <w:sz w:val="24"/>
          <w:szCs w:val="24"/>
        </w:rPr>
      </w:pPr>
    </w:p>
    <w:p>
      <w:pPr>
        <w:pStyle w:val="style179"/>
        <w:ind w:left="0"/>
        <w:jc w:val="both"/>
        <w:rPr>
          <w:rFonts w:ascii="Arial" w:cs="Arial" w:hAnsi="Arial"/>
          <w:sz w:val="24"/>
          <w:szCs w:val="24"/>
        </w:rPr>
      </w:pPr>
    </w:p>
    <w:p>
      <w:pPr>
        <w:pStyle w:val="style179"/>
        <w:ind w:left="0"/>
        <w:jc w:val="both"/>
        <w:rPr>
          <w:rFonts w:ascii="Arial" w:cs="Arial" w:hAnsi="Arial"/>
          <w:sz w:val="24"/>
          <w:szCs w:val="24"/>
        </w:rPr>
      </w:pPr>
    </w:p>
    <w:p>
      <w:pPr>
        <w:pStyle w:val="style179"/>
        <w:ind w:left="0"/>
        <w:jc w:val="both"/>
        <w:rPr>
          <w:rFonts w:ascii="Arial" w:cs="Arial" w:hAnsi="Arial"/>
          <w:sz w:val="24"/>
          <w:szCs w:val="24"/>
        </w:rPr>
      </w:pPr>
    </w:p>
    <w:p>
      <w:pPr>
        <w:pStyle w:val="style179"/>
        <w:ind w:left="0"/>
        <w:jc w:val="both"/>
        <w:rPr>
          <w:rFonts w:ascii="Arial" w:cs="Arial" w:hAnsi="Arial"/>
          <w:sz w:val="24"/>
          <w:szCs w:val="24"/>
        </w:rPr>
      </w:pPr>
    </w:p>
    <w:p>
      <w:pPr>
        <w:pStyle w:val="style179"/>
        <w:ind w:left="0"/>
        <w:jc w:val="both"/>
        <w:rPr>
          <w:rFonts w:ascii="Arial" w:cs="Arial" w:hAnsi="Arial"/>
          <w:sz w:val="24"/>
          <w:szCs w:val="24"/>
        </w:rPr>
      </w:pPr>
    </w:p>
    <w:p>
      <w:pPr>
        <w:pStyle w:val="style179"/>
        <w:ind w:left="0"/>
        <w:jc w:val="both"/>
        <w:rPr>
          <w:rFonts w:ascii="Arial" w:cs="Arial" w:hAnsi="Arial"/>
          <w:sz w:val="24"/>
          <w:szCs w:val="24"/>
        </w:rPr>
      </w:pPr>
    </w:p>
    <w:p>
      <w:pPr>
        <w:pStyle w:val="style179"/>
        <w:ind w:left="0"/>
        <w:jc w:val="both"/>
        <w:rPr>
          <w:rFonts w:ascii="Arial" w:cs="Arial" w:hAnsi="Arial"/>
          <w:sz w:val="24"/>
          <w:szCs w:val="24"/>
        </w:rPr>
      </w:pPr>
    </w:p>
    <w:p>
      <w:pPr>
        <w:pStyle w:val="style179"/>
        <w:ind w:left="0"/>
        <w:jc w:val="both"/>
        <w:rPr>
          <w:rFonts w:ascii="Arial" w:cs="Arial" w:hAnsi="Arial"/>
          <w:sz w:val="24"/>
          <w:szCs w:val="24"/>
        </w:rPr>
      </w:pPr>
    </w:p>
    <w:p>
      <w:pPr>
        <w:pStyle w:val="style179"/>
        <w:ind w:left="0"/>
        <w:jc w:val="both"/>
        <w:rPr>
          <w:rFonts w:ascii="Arial" w:cs="Arial" w:hAnsi="Arial"/>
          <w:sz w:val="24"/>
          <w:szCs w:val="24"/>
        </w:rPr>
      </w:pPr>
    </w:p>
    <w:p>
      <w:pPr>
        <w:pStyle w:val="style179"/>
        <w:ind w:left="0"/>
        <w:jc w:val="both"/>
        <w:rPr>
          <w:rFonts w:ascii="Arial" w:cs="Arial" w:hAnsi="Arial"/>
          <w:sz w:val="24"/>
          <w:szCs w:val="24"/>
        </w:rPr>
      </w:pPr>
    </w:p>
    <w:p>
      <w:pPr>
        <w:pStyle w:val="style179"/>
        <w:ind w:left="0"/>
        <w:jc w:val="both"/>
        <w:rPr>
          <w:rFonts w:ascii="Arial" w:cs="Arial" w:hAnsi="Arial"/>
          <w:sz w:val="24"/>
          <w:szCs w:val="24"/>
        </w:rPr>
      </w:pPr>
    </w:p>
    <w:p>
      <w:pPr>
        <w:pStyle w:val="style179"/>
        <w:ind w:left="0"/>
        <w:jc w:val="both"/>
        <w:rPr>
          <w:rFonts w:ascii="Arial" w:cs="Arial" w:hAnsi="Arial"/>
          <w:sz w:val="24"/>
          <w:szCs w:val="24"/>
        </w:rPr>
      </w:pPr>
    </w:p>
    <w:p>
      <w:pPr>
        <w:pStyle w:val="style179"/>
        <w:jc w:val="center"/>
        <w:rPr>
          <w:rFonts w:ascii="Arial" w:cs="Arial" w:hAnsi="Arial"/>
          <w:sz w:val="28"/>
          <w:szCs w:val="24"/>
        </w:rPr>
      </w:pPr>
    </w:p>
    <w:p>
      <w:pPr>
        <w:pStyle w:val="style179"/>
        <w:jc w:val="center"/>
        <w:rPr>
          <w:rFonts w:ascii="Arial" w:cs="Arial" w:hAnsi="Arial"/>
          <w:sz w:val="28"/>
          <w:szCs w:val="24"/>
        </w:rPr>
      </w:pPr>
      <w:r>
        <w:rPr>
          <w:rFonts w:ascii="Arial" w:cs="Arial" w:hAnsi="Arial"/>
          <w:sz w:val="28"/>
          <w:szCs w:val="24"/>
        </w:rPr>
        <w:t xml:space="preserve">Exportaciones principales Mercaderías: </w:t>
      </w:r>
      <w:r>
        <w:rPr>
          <w:rFonts w:ascii="Arial" w:cs="Arial" w:hAnsi="Arial"/>
          <w:sz w:val="28"/>
          <w:szCs w:val="24"/>
        </w:rPr>
        <w:t>Demás materias textiles</w:t>
      </w:r>
    </w:p>
    <w:p>
      <w:pPr>
        <w:pStyle w:val="style179"/>
        <w:jc w:val="both"/>
        <w:rPr>
          <w:rFonts w:ascii="Arial" w:cs="Arial" w:hAnsi="Arial"/>
          <w:sz w:val="28"/>
          <w:szCs w:val="24"/>
        </w:rPr>
      </w:pPr>
    </w:p>
    <w:p>
      <w:pPr>
        <w:pStyle w:val="style0"/>
        <w:jc w:val="both"/>
        <w:rPr>
          <w:rFonts w:ascii="Arial" w:cs="Arial" w:hAnsi="Arial"/>
          <w:sz w:val="24"/>
          <w:szCs w:val="24"/>
        </w:rPr>
      </w:pPr>
      <w:r>
        <w:rPr>
          <w:rFonts w:ascii="Arial" w:cs="Arial" w:hAnsi="Arial"/>
          <w:sz w:val="24"/>
          <w:szCs w:val="24"/>
        </w:rPr>
        <w:t xml:space="preserve">Esta base de datos posee información acerca de las principales exportaciones realizadas en todo el País de Panamá. Estaremos estudiando de esta base de datos el arancel </w:t>
      </w:r>
      <w:r>
        <w:rPr>
          <w:rFonts w:ascii="Arial" w:cs="Arial" w:hAnsi="Arial"/>
          <w:sz w:val="24"/>
          <w:szCs w:val="24"/>
        </w:rPr>
        <w:t>6108.19.00.00</w:t>
      </w:r>
      <w:r>
        <w:rPr>
          <w:rFonts w:ascii="Arial" w:cs="Arial" w:hAnsi="Arial"/>
          <w:sz w:val="24"/>
          <w:szCs w:val="24"/>
        </w:rPr>
        <w:t xml:space="preserve"> </w:t>
      </w:r>
      <w:r>
        <w:rPr>
          <w:rFonts w:ascii="Arial" w:cs="Arial" w:hAnsi="Arial"/>
          <w:sz w:val="24"/>
          <w:szCs w:val="24"/>
        </w:rPr>
        <w:t xml:space="preserve">que corresponde a la clasificación de </w:t>
      </w:r>
      <w:r>
        <w:rPr>
          <w:rFonts w:ascii="Arial" w:cs="Arial" w:hAnsi="Arial"/>
          <w:sz w:val="24"/>
          <w:szCs w:val="24"/>
        </w:rPr>
        <w:t>textiles especificamente:</w:t>
      </w:r>
    </w:p>
    <w:p>
      <w:pPr>
        <w:pStyle w:val="style0"/>
        <w:jc w:val="both"/>
        <w:rPr>
          <w:rFonts w:ascii="Arial" w:cs="Arial" w:hAnsi="Arial"/>
          <w:sz w:val="24"/>
          <w:szCs w:val="24"/>
        </w:rPr>
      </w:pPr>
      <w:r>
        <w:rPr>
          <w:rFonts w:ascii="Arial" w:cs="Arial" w:hAnsi="Arial"/>
          <w:sz w:val="24"/>
          <w:szCs w:val="24"/>
        </w:rPr>
        <w:t>Cualquier tipo de textil especial que se utilize para prendas interiores o de protección</w:t>
      </w:r>
    </w:p>
    <w:p>
      <w:pPr>
        <w:pStyle w:val="style0"/>
        <w:jc w:val="both"/>
        <w:rPr>
          <w:rFonts w:ascii="Arial" w:cs="Arial" w:hAnsi="Arial"/>
          <w:sz w:val="24"/>
          <w:szCs w:val="24"/>
        </w:rPr>
      </w:pPr>
      <w:r>
        <w:rPr>
          <w:rFonts w:ascii="Arial" w:cs="Arial" w:hAnsi="Arial"/>
          <w:sz w:val="24"/>
          <w:szCs w:val="24"/>
        </w:rPr>
        <w:t>La tabla posee los siguientes atributos:</w:t>
      </w:r>
    </w:p>
    <w:p>
      <w:pPr>
        <w:pStyle w:val="style179"/>
        <w:numPr>
          <w:ilvl w:val="0"/>
          <w:numId w:val="17"/>
        </w:numPr>
        <w:jc w:val="both"/>
        <w:rPr>
          <w:rFonts w:ascii="Arial" w:cs="Arial" w:hAnsi="Arial"/>
          <w:sz w:val="24"/>
          <w:szCs w:val="24"/>
        </w:rPr>
      </w:pPr>
      <w:r>
        <w:rPr>
          <w:rFonts w:ascii="Arial" w:cs="Arial" w:hAnsi="Arial"/>
          <w:sz w:val="24"/>
          <w:szCs w:val="24"/>
        </w:rPr>
        <w:t>Año: Dato categórico</w:t>
      </w:r>
    </w:p>
    <w:p>
      <w:pPr>
        <w:pStyle w:val="style179"/>
        <w:numPr>
          <w:ilvl w:val="0"/>
          <w:numId w:val="17"/>
        </w:numPr>
        <w:jc w:val="both"/>
        <w:rPr>
          <w:rFonts w:ascii="Arial" w:cs="Arial" w:hAnsi="Arial"/>
          <w:sz w:val="24"/>
          <w:szCs w:val="24"/>
        </w:rPr>
      </w:pPr>
      <w:r>
        <w:rPr>
          <w:rFonts w:ascii="Arial" w:cs="Arial" w:hAnsi="Arial"/>
          <w:sz w:val="24"/>
          <w:szCs w:val="24"/>
        </w:rPr>
        <w:t>Mes: Dato categórico</w:t>
      </w:r>
    </w:p>
    <w:p>
      <w:pPr>
        <w:pStyle w:val="style179"/>
        <w:numPr>
          <w:ilvl w:val="0"/>
          <w:numId w:val="17"/>
        </w:numPr>
        <w:jc w:val="both"/>
        <w:rPr>
          <w:rFonts w:ascii="Arial" w:cs="Arial" w:hAnsi="Arial"/>
          <w:sz w:val="24"/>
          <w:szCs w:val="24"/>
        </w:rPr>
      </w:pPr>
      <w:r>
        <w:rPr>
          <w:rFonts w:ascii="Arial" w:cs="Arial" w:hAnsi="Arial"/>
          <w:sz w:val="24"/>
          <w:szCs w:val="24"/>
        </w:rPr>
        <w:t>Arancel: Dato categórico</w:t>
      </w:r>
    </w:p>
    <w:p>
      <w:pPr>
        <w:pStyle w:val="style179"/>
        <w:numPr>
          <w:ilvl w:val="0"/>
          <w:numId w:val="17"/>
        </w:numPr>
        <w:jc w:val="both"/>
        <w:rPr>
          <w:rFonts w:ascii="Arial" w:cs="Arial" w:hAnsi="Arial"/>
          <w:sz w:val="24"/>
          <w:szCs w:val="24"/>
        </w:rPr>
      </w:pPr>
      <w:r>
        <w:rPr>
          <w:rFonts w:ascii="Arial" w:cs="Arial" w:hAnsi="Arial"/>
          <w:sz w:val="24"/>
          <w:szCs w:val="24"/>
        </w:rPr>
        <w:t>Valor FOB: Dato numérico</w:t>
      </w:r>
    </w:p>
    <w:p>
      <w:pPr>
        <w:pStyle w:val="style179"/>
        <w:numPr>
          <w:ilvl w:val="0"/>
          <w:numId w:val="17"/>
        </w:numPr>
        <w:jc w:val="both"/>
        <w:rPr>
          <w:rFonts w:ascii="Arial" w:cs="Arial" w:hAnsi="Arial"/>
          <w:sz w:val="24"/>
          <w:szCs w:val="24"/>
        </w:rPr>
      </w:pPr>
      <w:r>
        <w:rPr>
          <w:rFonts w:ascii="Arial" w:cs="Arial" w:hAnsi="Arial"/>
          <w:sz w:val="24"/>
          <w:szCs w:val="24"/>
        </w:rPr>
        <w:t>Peso bruto: Dato numérico</w:t>
      </w:r>
    </w:p>
    <w:p>
      <w:pPr>
        <w:pStyle w:val="style179"/>
        <w:numPr>
          <w:ilvl w:val="0"/>
          <w:numId w:val="17"/>
        </w:numPr>
        <w:jc w:val="both"/>
        <w:rPr>
          <w:rFonts w:ascii="Arial" w:cs="Arial" w:hAnsi="Arial"/>
          <w:sz w:val="24"/>
          <w:szCs w:val="24"/>
        </w:rPr>
      </w:pPr>
      <w:r>
        <w:rPr>
          <w:rFonts w:ascii="Arial" w:cs="Arial" w:hAnsi="Arial"/>
          <w:sz w:val="24"/>
          <w:szCs w:val="24"/>
        </w:rPr>
        <w:t>Vía: Dato categórico</w:t>
      </w:r>
    </w:p>
    <w:p>
      <w:pPr>
        <w:pStyle w:val="style0"/>
        <w:jc w:val="both"/>
        <w:rPr>
          <w:rFonts w:ascii="Arial" w:cs="Arial" w:hAnsi="Arial"/>
          <w:sz w:val="24"/>
          <w:szCs w:val="24"/>
        </w:rPr>
      </w:pPr>
      <w:r>
        <w:rPr>
          <w:rFonts w:ascii="Arial" w:cs="Arial" w:hAnsi="Arial"/>
          <w:sz w:val="24"/>
          <w:szCs w:val="24"/>
        </w:rPr>
        <w:t>Análisis</w:t>
      </w:r>
    </w:p>
    <w:p>
      <w:pPr>
        <w:pStyle w:val="style179"/>
        <w:numPr>
          <w:ilvl w:val="0"/>
          <w:numId w:val="16"/>
        </w:numPr>
        <w:jc w:val="both"/>
        <w:rPr>
          <w:rFonts w:ascii="Arial" w:cs="Arial" w:hAnsi="Arial"/>
          <w:sz w:val="24"/>
          <w:szCs w:val="24"/>
        </w:rPr>
      </w:pPr>
      <w:r>
        <w:rPr>
          <w:rFonts w:ascii="Arial" w:cs="Arial" w:hAnsi="Arial"/>
          <w:sz w:val="24"/>
          <w:szCs w:val="24"/>
        </w:rPr>
        <w:t xml:space="preserve">¿Cuál es </w:t>
      </w:r>
      <w:r>
        <w:rPr>
          <w:rFonts w:ascii="Arial" w:cs="Arial" w:hAnsi="Arial"/>
          <w:sz w:val="24"/>
          <w:szCs w:val="24"/>
        </w:rPr>
        <w:t xml:space="preserve">el país </w:t>
      </w:r>
      <w:r>
        <w:rPr>
          <w:rFonts w:ascii="Arial" w:cs="Arial" w:hAnsi="Arial"/>
          <w:sz w:val="24"/>
          <w:szCs w:val="24"/>
        </w:rPr>
        <w:t>al que más se le exporta este arancel?</w:t>
      </w:r>
    </w:p>
    <w:p>
      <w:pPr>
        <w:pStyle w:val="style179"/>
        <w:jc w:val="both"/>
        <w:rPr>
          <w:rFonts w:ascii="Arial" w:cs="Arial" w:hAnsi="Arial"/>
          <w:sz w:val="24"/>
          <w:szCs w:val="24"/>
        </w:rPr>
      </w:pPr>
      <w:r>
        <w:rPr>
          <w:rFonts w:ascii="Arial" w:cs="Arial" w:hAnsi="Arial"/>
          <w:sz w:val="24"/>
          <w:szCs w:val="24"/>
        </w:rPr>
        <w:t>En la siguiente grafica podemos ver como el país al que más se le exporta este arancel es el país con código 236, el cual corresponde a Belice</w:t>
      </w:r>
    </w:p>
    <w:p>
      <w:pPr>
        <w:pStyle w:val="style179"/>
        <w:jc w:val="both"/>
        <w:rPr>
          <w:rFonts w:ascii="Arial" w:cs="Arial" w:hAnsi="Arial"/>
          <w:sz w:val="24"/>
          <w:szCs w:val="24"/>
        </w:rPr>
      </w:pPr>
      <w:r>
        <w:rPr>
          <w:noProof/>
        </w:rPr>
      </w:r>
      <w:r>
        <w:rPr>
          <w:noProof/>
        </w:rPr>
      </w:r>
      <w:r>
        <w:rPr>
          <w:noProof/>
        </w:rPr>
      </w:r>
      <w:r>
        <w:rPr>
          <w:noProof/>
        </w:rPr>
        <w:drawing>
          <wp:inline distL="114300" distT="0" distB="0" distR="114300">
            <wp:extent cx="5612130" cy="2892425"/>
            <wp:effectExtent l="0" t="0" r="0" b="0"/>
            <wp:docPr id="111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r>
        <w:rPr>
          <w:noProof/>
        </w:rPr>
      </w:r>
    </w:p>
    <w:p>
      <w:pPr>
        <w:pStyle w:val="style179"/>
        <w:jc w:val="both"/>
        <w:rPr>
          <w:rFonts w:ascii="Arial" w:cs="Arial" w:hAnsi="Arial"/>
          <w:sz w:val="24"/>
          <w:szCs w:val="24"/>
        </w:rPr>
      </w:pPr>
    </w:p>
    <w:p>
      <w:pPr>
        <w:pStyle w:val="style179"/>
        <w:jc w:val="both"/>
        <w:rPr>
          <w:rFonts w:ascii="Arial" w:cs="Arial" w:hAnsi="Arial"/>
          <w:sz w:val="24"/>
          <w:szCs w:val="24"/>
        </w:rPr>
      </w:pPr>
      <w:r>
        <w:rPr>
          <w:rFonts w:ascii="Arial" w:cs="Arial" w:hAnsi="Arial"/>
          <w:sz w:val="24"/>
          <w:szCs w:val="24"/>
        </w:rPr>
        <w:t>De ahora en adelante el estudio se centrara en los datos de la exportación de este arancel a Belice</w:t>
      </w:r>
    </w:p>
    <w:p>
      <w:pPr>
        <w:pStyle w:val="style179"/>
        <w:jc w:val="both"/>
        <w:rPr>
          <w:rFonts w:ascii="Arial" w:cs="Arial" w:hAnsi="Arial"/>
          <w:sz w:val="24"/>
          <w:szCs w:val="24"/>
        </w:rPr>
      </w:pPr>
    </w:p>
    <w:p>
      <w:pPr>
        <w:pStyle w:val="style179"/>
        <w:jc w:val="both"/>
        <w:rPr>
          <w:rFonts w:ascii="Arial" w:cs="Arial" w:hAnsi="Arial"/>
          <w:sz w:val="24"/>
          <w:szCs w:val="24"/>
        </w:rPr>
      </w:pPr>
    </w:p>
    <w:p>
      <w:pPr>
        <w:pStyle w:val="style179"/>
        <w:numPr>
          <w:ilvl w:val="0"/>
          <w:numId w:val="16"/>
        </w:numPr>
        <w:jc w:val="both"/>
        <w:rPr>
          <w:rFonts w:ascii="Arial" w:cs="Arial" w:hAnsi="Arial"/>
          <w:sz w:val="24"/>
          <w:szCs w:val="24"/>
        </w:rPr>
      </w:pPr>
      <w:r>
        <w:rPr>
          <w:rFonts w:ascii="Arial" w:cs="Arial" w:hAnsi="Arial"/>
          <w:sz w:val="24"/>
          <w:szCs w:val="24"/>
        </w:rPr>
        <w:t>¿Cómo ha cambiado la cantidad de peso neto exportado en el tiempo estudiado?</w:t>
      </w:r>
    </w:p>
    <w:p>
      <w:pPr>
        <w:pStyle w:val="style179"/>
        <w:jc w:val="both"/>
        <w:rPr>
          <w:rFonts w:ascii="Arial" w:cs="Arial" w:hAnsi="Arial"/>
          <w:sz w:val="24"/>
          <w:szCs w:val="24"/>
        </w:rPr>
      </w:pPr>
      <w:r>
        <w:rPr>
          <w:rFonts w:ascii="Arial" w:cs="Arial" w:hAnsi="Arial"/>
          <w:sz w:val="24"/>
          <w:szCs w:val="24"/>
        </w:rPr>
        <w:t>Podemos observar, que la cantidad de peso neto exportado  a Belice aumento mucho en el 2019, y se ha mantenido estable desde entonces</w:t>
      </w:r>
    </w:p>
    <w:p>
      <w:pPr>
        <w:pStyle w:val="style179"/>
        <w:jc w:val="both"/>
        <w:rPr>
          <w:rFonts w:ascii="Arial" w:cs="Arial" w:hAnsi="Arial"/>
          <w:sz w:val="24"/>
          <w:szCs w:val="24"/>
        </w:rPr>
      </w:pPr>
      <w:r>
        <w:rPr>
          <w:noProof/>
        </w:rPr>
      </w:r>
      <w:r>
        <w:rPr>
          <w:noProof/>
        </w:rPr>
      </w:r>
      <w:r>
        <w:rPr>
          <w:noProof/>
        </w:rPr>
      </w:r>
      <w:r>
        <w:rPr>
          <w:noProof/>
        </w:rPr>
        <w:drawing>
          <wp:inline distL="114300" distT="0" distB="0" distR="114300">
            <wp:extent cx="5612130" cy="2726690"/>
            <wp:effectExtent l="0" t="0" r="0" b="0"/>
            <wp:docPr id="112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r>
        <w:rPr>
          <w:noProof/>
        </w:rPr>
      </w:r>
    </w:p>
    <w:p>
      <w:pPr>
        <w:pStyle w:val="style179"/>
        <w:jc w:val="both"/>
        <w:rPr>
          <w:rFonts w:ascii="Arial" w:cs="Arial" w:hAnsi="Arial"/>
          <w:sz w:val="24"/>
          <w:szCs w:val="24"/>
        </w:rPr>
      </w:pPr>
    </w:p>
    <w:p>
      <w:pPr>
        <w:pStyle w:val="style179"/>
        <w:numPr>
          <w:ilvl w:val="0"/>
          <w:numId w:val="16"/>
        </w:numPr>
        <w:jc w:val="both"/>
        <w:rPr>
          <w:rFonts w:ascii="Arial" w:cs="Arial" w:hAnsi="Arial"/>
          <w:sz w:val="24"/>
          <w:szCs w:val="24"/>
        </w:rPr>
      </w:pPr>
      <w:r>
        <w:rPr>
          <w:rFonts w:ascii="Arial" w:cs="Arial" w:hAnsi="Arial"/>
          <w:sz w:val="24"/>
          <w:szCs w:val="24"/>
        </w:rPr>
        <w:t>¿En qué meses se exporta más de este arancel?</w:t>
      </w:r>
    </w:p>
    <w:p>
      <w:pPr>
        <w:pStyle w:val="style179"/>
        <w:jc w:val="both"/>
        <w:rPr>
          <w:rFonts w:ascii="Arial" w:cs="Arial" w:hAnsi="Arial"/>
          <w:sz w:val="24"/>
          <w:szCs w:val="24"/>
        </w:rPr>
      </w:pPr>
      <w:r>
        <w:rPr>
          <w:rFonts w:ascii="Arial" w:cs="Arial" w:hAnsi="Arial"/>
          <w:sz w:val="24"/>
          <w:szCs w:val="24"/>
        </w:rPr>
        <w:t>En la siguiente grafica podemos observar cual es el mes en el que más se exporta. La grafica esta ordenada en forma descendente y vemos que el mes en el que más se exporta es Agosto, mientras que marzo es el que menos exporta.</w:t>
      </w:r>
    </w:p>
    <w:p>
      <w:pPr>
        <w:pStyle w:val="style179"/>
        <w:jc w:val="both"/>
        <w:rPr>
          <w:rFonts w:ascii="Arial" w:cs="Arial" w:hAnsi="Arial"/>
          <w:sz w:val="24"/>
          <w:szCs w:val="24"/>
        </w:rPr>
      </w:pPr>
      <w:r>
        <w:rPr>
          <w:noProof/>
        </w:rPr>
      </w:r>
      <w:r>
        <w:rPr>
          <w:noProof/>
        </w:rPr>
      </w:r>
      <w:r>
        <w:rPr>
          <w:noProof/>
        </w:rPr>
      </w:r>
      <w:r>
        <w:rPr>
          <w:noProof/>
        </w:rPr>
        <w:drawing>
          <wp:inline distL="114300" distT="0" distB="0" distR="114300">
            <wp:extent cx="5612130" cy="2615565"/>
            <wp:effectExtent l="0" t="0" r="0" b="0"/>
            <wp:docPr id="112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r>
        <w:rPr>
          <w:noProof/>
        </w:rPr>
      </w:r>
    </w:p>
    <w:p>
      <w:pPr>
        <w:pStyle w:val="style179"/>
        <w:jc w:val="both"/>
        <w:rPr>
          <w:rFonts w:ascii="Arial" w:cs="Arial" w:hAnsi="Arial"/>
          <w:sz w:val="24"/>
          <w:szCs w:val="24"/>
        </w:rPr>
      </w:pPr>
    </w:p>
    <w:p>
      <w:pPr>
        <w:pStyle w:val="style179"/>
        <w:jc w:val="both"/>
        <w:rPr>
          <w:rFonts w:ascii="Arial" w:cs="Arial" w:hAnsi="Arial"/>
          <w:sz w:val="24"/>
          <w:szCs w:val="24"/>
        </w:rPr>
      </w:pPr>
    </w:p>
    <w:p>
      <w:pPr>
        <w:pStyle w:val="style179"/>
        <w:jc w:val="both"/>
        <w:rPr>
          <w:rFonts w:ascii="Arial" w:cs="Arial" w:hAnsi="Arial"/>
          <w:sz w:val="24"/>
          <w:szCs w:val="24"/>
        </w:rPr>
      </w:pPr>
    </w:p>
    <w:p>
      <w:pPr>
        <w:pStyle w:val="style179"/>
        <w:jc w:val="both"/>
        <w:rPr>
          <w:rFonts w:ascii="Arial" w:cs="Arial" w:hAnsi="Arial"/>
          <w:sz w:val="24"/>
          <w:szCs w:val="24"/>
        </w:rPr>
      </w:pPr>
    </w:p>
    <w:p>
      <w:pPr>
        <w:pStyle w:val="style179"/>
        <w:jc w:val="both"/>
        <w:rPr>
          <w:rFonts w:ascii="Arial" w:cs="Arial" w:hAnsi="Arial"/>
          <w:sz w:val="24"/>
          <w:szCs w:val="24"/>
        </w:rPr>
      </w:pPr>
    </w:p>
    <w:p>
      <w:pPr>
        <w:pStyle w:val="style179"/>
        <w:jc w:val="both"/>
        <w:rPr>
          <w:rFonts w:ascii="Arial" w:cs="Arial" w:hAnsi="Arial"/>
          <w:sz w:val="24"/>
          <w:szCs w:val="24"/>
        </w:rPr>
      </w:pPr>
    </w:p>
    <w:p>
      <w:pPr>
        <w:pStyle w:val="style179"/>
        <w:numPr>
          <w:ilvl w:val="0"/>
          <w:numId w:val="16"/>
        </w:numPr>
        <w:jc w:val="both"/>
        <w:rPr>
          <w:rFonts w:ascii="Arial" w:cs="Arial" w:hAnsi="Arial"/>
          <w:sz w:val="24"/>
          <w:szCs w:val="24"/>
        </w:rPr>
      </w:pPr>
      <w:r>
        <w:rPr>
          <w:rFonts w:ascii="Arial" w:cs="Arial" w:hAnsi="Arial"/>
          <w:sz w:val="24"/>
          <w:szCs w:val="24"/>
        </w:rPr>
        <w:t>¿Cuál es el mes en el que más FOB se paga?</w:t>
      </w:r>
    </w:p>
    <w:p>
      <w:pPr>
        <w:pStyle w:val="style179"/>
        <w:jc w:val="both"/>
        <w:rPr>
          <w:rFonts w:ascii="Arial" w:cs="Arial" w:hAnsi="Arial"/>
          <w:sz w:val="24"/>
          <w:szCs w:val="24"/>
        </w:rPr>
      </w:pPr>
      <w:r>
        <w:rPr>
          <w:rFonts w:ascii="Arial" w:cs="Arial" w:hAnsi="Arial"/>
          <w:sz w:val="24"/>
          <w:szCs w:val="24"/>
        </w:rPr>
        <w:t xml:space="preserve">En la siguiente grafica de FOB pagado por mes, podemos observar como el comportamiento es bastante parecido a la gráfica de peso exportado por mes, esto debido a que entre más se exporta, más se está pagando por mes. </w:t>
      </w:r>
    </w:p>
    <w:p>
      <w:pPr>
        <w:pStyle w:val="style179"/>
        <w:jc w:val="both"/>
        <w:rPr>
          <w:rFonts w:ascii="Arial" w:cs="Arial" w:hAnsi="Arial"/>
          <w:sz w:val="24"/>
          <w:szCs w:val="24"/>
        </w:rPr>
      </w:pPr>
      <w:r>
        <w:rPr>
          <w:noProof/>
        </w:rPr>
      </w:r>
      <w:r>
        <w:rPr>
          <w:noProof/>
        </w:rPr>
      </w:r>
      <w:r>
        <w:rPr>
          <w:noProof/>
        </w:rPr>
      </w:r>
      <w:r>
        <w:rPr>
          <w:noProof/>
        </w:rPr>
        <w:drawing>
          <wp:inline distL="114300" distT="0" distB="0" distR="114300">
            <wp:extent cx="5612130" cy="2536825"/>
            <wp:effectExtent l="0" t="0" r="0" b="0"/>
            <wp:docPr id="112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r>
        <w:rPr>
          <w:noProof/>
        </w:rPr>
      </w:r>
    </w:p>
    <w:p>
      <w:pPr>
        <w:pStyle w:val="style179"/>
        <w:jc w:val="both"/>
        <w:rPr>
          <w:rFonts w:ascii="Arial" w:cs="Arial" w:hAnsi="Arial"/>
          <w:sz w:val="24"/>
          <w:szCs w:val="24"/>
        </w:rPr>
      </w:pPr>
    </w:p>
    <w:p>
      <w:pPr>
        <w:pStyle w:val="style0"/>
        <w:jc w:val="both"/>
        <w:rPr>
          <w:rFonts w:ascii="Arial" w:cs="Arial" w:hAnsi="Arial"/>
          <w:sz w:val="24"/>
          <w:szCs w:val="24"/>
        </w:rPr>
      </w:pPr>
    </w:p>
    <w:p>
      <w:pPr>
        <w:pStyle w:val="style179"/>
        <w:rPr>
          <w:rFonts w:ascii="Arial" w:cs="Arial" w:hAnsi="Arial"/>
          <w:sz w:val="24"/>
          <w:szCs w:val="24"/>
        </w:rPr>
      </w:pPr>
    </w:p>
    <w:p>
      <w:pPr>
        <w:pStyle w:val="style179"/>
        <w:numPr>
          <w:ilvl w:val="0"/>
          <w:numId w:val="16"/>
        </w:numPr>
        <w:jc w:val="both"/>
        <w:rPr>
          <w:rFonts w:ascii="Arial" w:cs="Arial" w:hAnsi="Arial"/>
          <w:sz w:val="24"/>
          <w:szCs w:val="24"/>
        </w:rPr>
      </w:pPr>
      <w:r>
        <w:rPr>
          <w:rFonts w:ascii="Arial" w:cs="Arial" w:hAnsi="Arial"/>
          <w:sz w:val="24"/>
          <w:szCs w:val="24"/>
        </w:rPr>
        <w:t>¿Promedio de valor</w:t>
      </w:r>
      <w:r>
        <w:rPr>
          <w:rFonts w:ascii="Arial" w:cs="Arial" w:hAnsi="Arial"/>
          <w:sz w:val="24"/>
          <w:szCs w:val="24"/>
        </w:rPr>
        <w:t xml:space="preserve"> CIF</w:t>
      </w:r>
      <w:r>
        <w:rPr>
          <w:rFonts w:ascii="Arial" w:cs="Arial" w:hAnsi="Arial"/>
          <w:sz w:val="24"/>
          <w:szCs w:val="24"/>
        </w:rPr>
        <w:t xml:space="preserve"> pagado en el periodo estudiado?</w:t>
      </w:r>
    </w:p>
    <w:p>
      <w:pPr>
        <w:pStyle w:val="style0"/>
        <w:ind w:left="360"/>
        <w:jc w:val="both"/>
        <w:rPr>
          <w:rFonts w:ascii="Arial" w:cs="Arial" w:hAnsi="Arial"/>
          <w:sz w:val="24"/>
          <w:szCs w:val="24"/>
        </w:rPr>
      </w:pPr>
      <w:r>
        <w:rPr>
          <w:rFonts w:ascii="Arial" w:cs="Arial" w:hAnsi="Arial"/>
          <w:sz w:val="24"/>
          <w:szCs w:val="24"/>
        </w:rPr>
        <w:t xml:space="preserve">Podemos ver el análisis de los datos numéricos del </w:t>
      </w:r>
      <w:r>
        <w:rPr>
          <w:rFonts w:ascii="Arial" w:cs="Arial" w:hAnsi="Arial"/>
          <w:sz w:val="24"/>
          <w:szCs w:val="24"/>
        </w:rPr>
        <w:t>CIF</w:t>
      </w:r>
      <w:r>
        <w:rPr>
          <w:rFonts w:ascii="Arial" w:cs="Arial" w:hAnsi="Arial"/>
          <w:sz w:val="24"/>
          <w:szCs w:val="24"/>
        </w:rPr>
        <w:t xml:space="preserve"> en la siguiente imagen</w:t>
      </w:r>
    </w:p>
    <w:p>
      <w:pPr>
        <w:pStyle w:val="style179"/>
        <w:jc w:val="center"/>
        <w:rPr>
          <w:rFonts w:ascii="Arial" w:cs="Arial" w:hAnsi="Arial"/>
          <w:sz w:val="24"/>
          <w:szCs w:val="24"/>
        </w:rPr>
      </w:pPr>
      <w:r>
        <w:rPr>
          <w:rFonts w:ascii="Arial" w:cs="Arial" w:hAnsi="Arial"/>
          <w:sz w:val="24"/>
          <w:szCs w:val="24"/>
        </w:rPr>
        <w:object>
          <v:shape id="1126" type="#_x0000_t75" filled="f" stroked="f" alt="Tabla&#10;&#10;Descripción generada automáticamente" style="margin-left:0.0pt;margin-top:0.0pt;width:271.2pt;height:76.36pt;mso-wrap-distance-left:0.0pt;mso-wrap-distance-right:0.0pt;visibility:visible;">
            <w10:anchorlock/>
            <v:imagedata r:id="rId71" embosscolor="white" o:title=""/>
            <v:fill/>
          </v:shape>
          <o:OLEObject Type="EMBED" ProgID="Excel.Chart.8" ShapeID="1126" DrawAspect="Content" ObjectID="0" r:id="rId72"/>
        </w:object>
      </w:r>
    </w:p>
    <w:p>
      <w:pPr>
        <w:pStyle w:val="style179"/>
        <w:jc w:val="both"/>
        <w:rPr>
          <w:rFonts w:ascii="Arial" w:cs="Arial" w:hAnsi="Arial"/>
          <w:sz w:val="24"/>
          <w:szCs w:val="24"/>
        </w:rPr>
      </w:pPr>
      <w:r>
        <w:rPr>
          <w:rFonts w:ascii="Arial" w:cs="Arial" w:hAnsi="Arial"/>
          <w:sz w:val="24"/>
          <w:szCs w:val="24"/>
        </w:rPr>
        <w:t>Con estos datos podemos graficar la distribución normal del peso bruto en escala logarítmica</w:t>
      </w:r>
    </w:p>
    <w:p>
      <w:pPr>
        <w:pStyle w:val="style0"/>
        <w:jc w:val="center"/>
        <w:rPr>
          <w:rFonts w:ascii="Arial" w:cs="Arial" w:hAnsi="Arial"/>
          <w:sz w:val="24"/>
          <w:szCs w:val="24"/>
        </w:rPr>
      </w:pPr>
    </w:p>
    <w:p>
      <w:pPr>
        <w:pStyle w:val="style0"/>
        <w:jc w:val="both"/>
        <w:rPr>
          <w:rFonts w:ascii="Arial" w:cs="Arial" w:hAnsi="Arial"/>
          <w:sz w:val="24"/>
          <w:szCs w:val="24"/>
        </w:rPr>
      </w:pPr>
      <w:r>
        <w:rPr>
          <w:rFonts w:ascii="Arial" w:cs="Arial" w:hAnsi="Arial"/>
          <w:sz w:val="24"/>
          <w:szCs w:val="24"/>
        </w:rPr>
        <w:t xml:space="preserve">En esta grafica podemos observar como el valor </w:t>
      </w:r>
      <w:r>
        <w:rPr>
          <w:rFonts w:ascii="Arial" w:cs="Arial" w:hAnsi="Arial"/>
          <w:sz w:val="24"/>
          <w:szCs w:val="24"/>
        </w:rPr>
        <w:t>CIF</w:t>
      </w:r>
      <w:r>
        <w:rPr>
          <w:rFonts w:ascii="Arial" w:cs="Arial" w:hAnsi="Arial"/>
          <w:sz w:val="24"/>
          <w:szCs w:val="24"/>
        </w:rPr>
        <w:t xml:space="preserve"> de este producto no sigue una distribución normal estándar. </w:t>
      </w:r>
    </w:p>
    <w:p>
      <w:pPr>
        <w:pStyle w:val="style0"/>
        <w:jc w:val="both"/>
        <w:rPr>
          <w:rFonts w:ascii="Arial" w:cs="Arial" w:hAnsi="Arial"/>
          <w:sz w:val="24"/>
          <w:szCs w:val="24"/>
        </w:rPr>
      </w:pPr>
      <w:r>
        <w:rPr>
          <w:rFonts w:ascii="Arial" w:cs="Arial" w:hAnsi="Arial"/>
          <w:sz w:val="24"/>
          <w:szCs w:val="24"/>
        </w:rPr>
        <w:t>Si</w:t>
      </w:r>
      <w:r>
        <w:rPr>
          <w:rFonts w:ascii="Arial" w:cs="Arial" w:hAnsi="Arial"/>
          <w:sz w:val="24"/>
          <w:szCs w:val="24"/>
        </w:rPr>
        <w:t xml:space="preserve"> intentamos realizar una distribución normal del promedio de valor FOB por mes conseguimos la siguiente gráfica:</w:t>
      </w:r>
    </w:p>
    <w:p>
      <w:pPr>
        <w:pStyle w:val="style0"/>
        <w:jc w:val="center"/>
        <w:rPr>
          <w:rFonts w:ascii="Arial" w:cs="Arial" w:hAnsi="Arial"/>
          <w:sz w:val="24"/>
          <w:szCs w:val="24"/>
        </w:rPr>
      </w:pPr>
    </w:p>
    <w:p>
      <w:pPr>
        <w:pStyle w:val="style179"/>
        <w:jc w:val="center"/>
        <w:rPr>
          <w:rFonts w:ascii="Arial" w:cs="Arial" w:hAnsi="Arial"/>
          <w:sz w:val="24"/>
          <w:szCs w:val="24"/>
        </w:rPr>
      </w:pPr>
    </w:p>
    <w:p>
      <w:pPr>
        <w:pStyle w:val="style179"/>
        <w:numPr>
          <w:ilvl w:val="0"/>
          <w:numId w:val="16"/>
        </w:numPr>
        <w:jc w:val="both"/>
        <w:rPr>
          <w:rFonts w:ascii="Arial" w:cs="Arial" w:hAnsi="Arial"/>
          <w:sz w:val="24"/>
          <w:szCs w:val="24"/>
        </w:rPr>
      </w:pPr>
      <w:r>
        <w:rPr>
          <w:rFonts w:ascii="Arial" w:cs="Arial" w:hAnsi="Arial"/>
          <w:sz w:val="24"/>
          <w:szCs w:val="24"/>
        </w:rPr>
        <w:t>¿Cuál es la correlación entre peso bruto y valor FOB</w:t>
      </w:r>
    </w:p>
    <w:p>
      <w:pPr>
        <w:pStyle w:val="style179"/>
        <w:jc w:val="both"/>
        <w:rPr>
          <w:rFonts w:ascii="Arial" w:cs="Arial" w:hAnsi="Arial"/>
          <w:sz w:val="24"/>
          <w:szCs w:val="24"/>
        </w:rPr>
      </w:pPr>
      <w:r>
        <w:rPr>
          <w:rFonts w:ascii="Arial" w:cs="Arial" w:hAnsi="Arial"/>
          <w:sz w:val="24"/>
          <w:szCs w:val="24"/>
        </w:rPr>
        <w:t>Esto lo podemos analizar con la siguiente gráfica. En ella podemos ver como se relaciona el peso bruto exportado, con el valor FOB que se tuvo que pagar</w:t>
      </w:r>
    </w:p>
    <w:p>
      <w:pPr>
        <w:pStyle w:val="style0"/>
        <w:jc w:val="center"/>
        <w:rPr>
          <w:rFonts w:ascii="Arial" w:cs="Arial" w:hAnsi="Arial"/>
          <w:sz w:val="24"/>
          <w:szCs w:val="24"/>
        </w:rPr>
      </w:pPr>
      <w:r>
        <w:rPr>
          <w:noProof/>
        </w:rPr>
      </w:r>
      <w:r>
        <w:rPr>
          <w:noProof/>
        </w:rPr>
      </w:r>
      <w:r>
        <w:rPr>
          <w:noProof/>
        </w:rPr>
      </w:r>
      <w:r>
        <w:rPr>
          <w:noProof/>
        </w:rPr>
        <w:drawing>
          <wp:inline distL="114300" distT="0" distB="0" distR="114300">
            <wp:extent cx="4572000" cy="2743200"/>
            <wp:effectExtent l="0" t="0" r="0" b="0"/>
            <wp:docPr id="11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r>
        <w:rPr>
          <w:noProof/>
        </w:rPr>
      </w:r>
    </w:p>
    <w:p>
      <w:pPr>
        <w:pStyle w:val="style0"/>
        <w:ind w:left="705"/>
        <w:rPr>
          <w:rFonts w:ascii="Arial" w:cs="Arial" w:hAnsi="Arial"/>
          <w:sz w:val="24"/>
          <w:szCs w:val="24"/>
        </w:rPr>
      </w:pPr>
      <w:r>
        <w:rPr>
          <w:rFonts w:ascii="Arial" w:cs="Arial" w:hAnsi="Arial"/>
          <w:sz w:val="24"/>
          <w:szCs w:val="24"/>
        </w:rPr>
        <w:t>En esta grafica se puede apreciar, como la relación entre peso bruto y valor FOB se puede explicar muy bien con la regresión lineal, ya que los puntos están muy cerca de la línea de tendencia.</w:t>
      </w:r>
    </w:p>
    <w:p>
      <w:pPr>
        <w:pStyle w:val="style0"/>
        <w:ind w:left="705"/>
        <w:rPr>
          <w:rFonts w:ascii="Arial" w:cs="Arial" w:hAnsi="Arial"/>
          <w:sz w:val="24"/>
          <w:szCs w:val="24"/>
        </w:rPr>
      </w:pPr>
    </w:p>
    <w:p>
      <w:pPr>
        <w:pStyle w:val="style0"/>
        <w:ind w:left="705"/>
        <w:rPr>
          <w:rFonts w:ascii="Arial" w:cs="Arial" w:hAnsi="Arial"/>
          <w:sz w:val="24"/>
          <w:szCs w:val="24"/>
        </w:rPr>
      </w:pPr>
      <w:r>
        <w:rPr>
          <w:rFonts w:ascii="Arial" w:cs="Arial" w:hAnsi="Arial"/>
          <w:sz w:val="24"/>
          <w:szCs w:val="24"/>
        </w:rPr>
        <w:t>Esta regresión lineal nos devuelve la siguiente fórmula para y:</w:t>
      </w:r>
    </w:p>
    <w:p>
      <w:pPr>
        <w:pStyle w:val="style0"/>
        <w:ind w:left="705"/>
        <w:jc w:val="center"/>
        <w:rPr>
          <w:rFonts w:ascii="Cambria Math" w:cs="Arial" w:hAnsi="Cambria Math"/>
          <w:i/>
          <w:sz w:val="32"/>
          <w:szCs w:val="24"/>
          <w:lang w:val="en-US"/>
        </w:rPr>
      </w:pPr>
      <w:r>
        <w:rPr>
          <w:rFonts w:ascii="Cambria Math" w:cs="Arial" w:hAnsi="Cambria Math"/>
          <w:i/>
          <w:sz w:val="32"/>
          <w:szCs w:val="24"/>
          <w:lang w:val="en-US"/>
        </w:rPr>
        <w:t>y = 0.0737x + 32.153</w:t>
      </w:r>
    </w:p>
    <w:p>
      <w:pPr>
        <w:pStyle w:val="style0"/>
        <w:ind w:left="705"/>
        <w:rPr>
          <w:rFonts w:ascii="Arial" w:cs="Arial" w:hAnsi="Arial"/>
          <w:sz w:val="24"/>
          <w:szCs w:val="24"/>
        </w:rPr>
      </w:pPr>
      <w:r>
        <w:rPr>
          <w:rFonts w:ascii="Arial" w:cs="Arial" w:hAnsi="Arial"/>
          <w:sz w:val="24"/>
          <w:szCs w:val="24"/>
        </w:rPr>
        <w:t>A estos valores de intercepción y variable x1 le sacamos los intervalos de confianza a 95%</w:t>
      </w:r>
    </w:p>
    <w:p>
      <w:pPr>
        <w:pStyle w:val="style0"/>
        <w:ind w:left="705"/>
        <w:jc w:val="center"/>
        <w:rPr>
          <w:rFonts w:ascii="Arial" w:cs="Arial" w:hAnsi="Arial"/>
          <w:sz w:val="24"/>
          <w:szCs w:val="24"/>
        </w:rPr>
      </w:pPr>
    </w:p>
    <w:p>
      <w:pPr>
        <w:pStyle w:val="style179"/>
        <w:ind w:left="0"/>
        <w:jc w:val="both"/>
        <w:rPr>
          <w:rFonts w:ascii="Arial" w:cs="Arial" w:hAnsi="Arial"/>
          <w:sz w:val="24"/>
          <w:szCs w:val="24"/>
        </w:rPr>
      </w:pPr>
    </w:p>
    <w:p>
      <w:pPr>
        <w:pStyle w:val="style179"/>
        <w:ind w:left="0"/>
        <w:jc w:val="both"/>
        <w:rPr>
          <w:rFonts w:ascii="Arial" w:cs="Arial" w:hAnsi="Arial"/>
          <w:sz w:val="24"/>
          <w:szCs w:val="24"/>
        </w:rPr>
      </w:pPr>
    </w:p>
    <w:p>
      <w:pPr>
        <w:pStyle w:val="style179"/>
        <w:ind w:left="0"/>
        <w:jc w:val="both"/>
        <w:rPr>
          <w:rFonts w:ascii="Arial" w:cs="Arial" w:hAnsi="Arial"/>
          <w:sz w:val="24"/>
          <w:szCs w:val="24"/>
        </w:rPr>
      </w:pPr>
    </w:p>
    <w:p>
      <w:pPr>
        <w:pStyle w:val="style179"/>
        <w:ind w:left="0"/>
        <w:jc w:val="both"/>
        <w:rPr>
          <w:rFonts w:ascii="Arial" w:cs="Arial" w:hAnsi="Arial"/>
          <w:sz w:val="24"/>
          <w:szCs w:val="24"/>
        </w:rPr>
      </w:pPr>
    </w:p>
    <w:p>
      <w:pPr>
        <w:pStyle w:val="style179"/>
        <w:ind w:left="0"/>
        <w:jc w:val="both"/>
        <w:rPr>
          <w:rFonts w:ascii="Arial" w:cs="Arial" w:hAnsi="Arial"/>
          <w:sz w:val="24"/>
          <w:szCs w:val="24"/>
        </w:rPr>
      </w:pPr>
    </w:p>
    <w:p>
      <w:pPr>
        <w:pStyle w:val="style179"/>
        <w:ind w:left="0"/>
        <w:jc w:val="both"/>
        <w:rPr>
          <w:rFonts w:ascii="Arial" w:cs="Arial" w:hAnsi="Arial"/>
          <w:sz w:val="24"/>
          <w:szCs w:val="24"/>
        </w:rPr>
      </w:pPr>
    </w:p>
    <w:p>
      <w:pPr>
        <w:pStyle w:val="style179"/>
        <w:ind w:left="0"/>
        <w:jc w:val="both"/>
        <w:rPr>
          <w:rFonts w:ascii="Arial" w:cs="Arial" w:hAnsi="Arial"/>
          <w:sz w:val="24"/>
          <w:szCs w:val="24"/>
        </w:rPr>
      </w:pPr>
    </w:p>
    <w:p>
      <w:pPr>
        <w:pStyle w:val="style179"/>
        <w:ind w:left="0"/>
        <w:jc w:val="both"/>
        <w:rPr>
          <w:rFonts w:ascii="Arial" w:cs="Arial" w:hAnsi="Arial"/>
          <w:sz w:val="24"/>
          <w:szCs w:val="24"/>
        </w:rPr>
      </w:pPr>
    </w:p>
    <w:p>
      <w:pPr>
        <w:pStyle w:val="style179"/>
        <w:ind w:left="0"/>
        <w:jc w:val="both"/>
        <w:rPr>
          <w:rFonts w:ascii="Arial" w:cs="Arial" w:hAnsi="Arial"/>
          <w:sz w:val="24"/>
          <w:szCs w:val="24"/>
        </w:rPr>
      </w:pPr>
    </w:p>
    <w:p>
      <w:pPr>
        <w:pStyle w:val="style179"/>
        <w:ind w:left="0"/>
        <w:jc w:val="both"/>
        <w:rPr>
          <w:rFonts w:ascii="Arial" w:cs="Arial" w:hAnsi="Arial"/>
          <w:sz w:val="24"/>
          <w:szCs w:val="24"/>
        </w:rPr>
      </w:pPr>
    </w:p>
    <w:p>
      <w:pPr>
        <w:pStyle w:val="style179"/>
        <w:ind w:left="0"/>
        <w:jc w:val="both"/>
        <w:rPr>
          <w:rFonts w:ascii="Arial" w:cs="Arial" w:hAnsi="Arial"/>
          <w:sz w:val="24"/>
          <w:szCs w:val="24"/>
        </w:rPr>
      </w:pPr>
    </w:p>
    <w:p>
      <w:pPr>
        <w:pStyle w:val="style179"/>
        <w:ind w:left="0"/>
        <w:jc w:val="both"/>
        <w:rPr>
          <w:rFonts w:ascii="Arial" w:cs="Arial" w:hAnsi="Arial"/>
          <w:sz w:val="24"/>
          <w:szCs w:val="24"/>
        </w:rPr>
      </w:pPr>
    </w:p>
    <w:p>
      <w:pPr>
        <w:pStyle w:val="style0"/>
        <w:jc w:val="center"/>
        <w:rPr>
          <w:rFonts w:ascii="Arial" w:cs="Arial" w:hAnsi="Arial"/>
          <w:sz w:val="28"/>
          <w:szCs w:val="24"/>
        </w:rPr>
      </w:pPr>
      <w:r>
        <w:rPr>
          <w:rFonts w:ascii="Arial" w:cs="Arial" w:hAnsi="Arial"/>
          <w:sz w:val="28"/>
          <w:szCs w:val="24"/>
        </w:rPr>
        <w:t xml:space="preserve">Importaciones zonas francas: </w:t>
      </w:r>
      <w:r>
        <w:rPr>
          <w:rFonts w:ascii="Arial" w:cs="Arial" w:hAnsi="Arial"/>
          <w:sz w:val="28"/>
          <w:szCs w:val="24"/>
        </w:rPr>
        <w:t>MAQUINAS ELECTRONICAS</w:t>
      </w:r>
    </w:p>
    <w:p>
      <w:pPr>
        <w:pStyle w:val="style0"/>
        <w:jc w:val="both"/>
        <w:rPr>
          <w:rFonts w:ascii="Arial" w:cs="Arial" w:hAnsi="Arial"/>
          <w:sz w:val="24"/>
          <w:szCs w:val="24"/>
        </w:rPr>
      </w:pPr>
      <w:r>
        <w:rPr>
          <w:rFonts w:ascii="Arial" w:cs="Arial" w:hAnsi="Arial"/>
          <w:sz w:val="24"/>
          <w:szCs w:val="24"/>
        </w:rPr>
        <w:t xml:space="preserve">La base de datos de importaciones posee información de las importaciones que se realizan en Panamá por medio de zonas francas. </w:t>
      </w:r>
    </w:p>
    <w:p>
      <w:pPr>
        <w:pStyle w:val="style0"/>
        <w:jc w:val="both"/>
        <w:rPr>
          <w:rFonts w:ascii="Arial" w:cs="Arial" w:hAnsi="Arial"/>
          <w:sz w:val="24"/>
          <w:szCs w:val="24"/>
        </w:rPr>
      </w:pPr>
      <w:r>
        <w:rPr>
          <w:rFonts w:ascii="Arial" w:cs="Arial" w:hAnsi="Arial"/>
          <w:sz w:val="24"/>
          <w:szCs w:val="24"/>
        </w:rPr>
        <w:t xml:space="preserve">En el siguiente análisis nos estaremos centrando en las importaciones del arancel </w:t>
      </w:r>
      <w:r>
        <w:rPr>
          <w:rFonts w:ascii="Arial" w:cs="Arial" w:hAnsi="Arial"/>
          <w:sz w:val="24"/>
          <w:szCs w:val="24"/>
        </w:rPr>
        <w:t>8413.82.00</w:t>
      </w:r>
      <w:r>
        <w:rPr>
          <w:rFonts w:ascii="Arial" w:cs="Arial" w:hAnsi="Arial"/>
          <w:sz w:val="24"/>
          <w:szCs w:val="24"/>
        </w:rPr>
        <w:t>, el cual corresponde</w:t>
      </w:r>
      <w:r>
        <w:rPr>
          <w:rFonts w:ascii="Arial" w:cs="Arial" w:hAnsi="Arial"/>
          <w:sz w:val="24"/>
          <w:szCs w:val="24"/>
        </w:rPr>
        <w:t xml:space="preserve"> elevadores liquidos</w:t>
      </w:r>
    </w:p>
    <w:p>
      <w:pPr>
        <w:pStyle w:val="style179"/>
        <w:ind w:left="0"/>
        <w:jc w:val="both"/>
        <w:rPr>
          <w:rFonts w:ascii="Arial" w:cs="Arial" w:hAnsi="Arial"/>
          <w:sz w:val="24"/>
          <w:szCs w:val="24"/>
        </w:rPr>
      </w:pPr>
      <w:r>
        <w:rPr>
          <w:rFonts w:ascii="Arial" w:cs="Arial" w:hAnsi="Arial"/>
          <w:sz w:val="24"/>
          <w:szCs w:val="24"/>
        </w:rPr>
        <w:t>La tabla posee los siguientes atributos:</w:t>
      </w:r>
    </w:p>
    <w:p>
      <w:pPr>
        <w:pStyle w:val="style179"/>
        <w:numPr>
          <w:ilvl w:val="0"/>
          <w:numId w:val="11"/>
        </w:numPr>
        <w:ind w:left="720"/>
        <w:jc w:val="both"/>
        <w:rPr>
          <w:rFonts w:ascii="Arial" w:cs="Arial" w:hAnsi="Arial"/>
          <w:sz w:val="24"/>
          <w:szCs w:val="24"/>
        </w:rPr>
      </w:pPr>
      <w:r>
        <w:rPr>
          <w:rFonts w:ascii="Arial" w:cs="Arial" w:hAnsi="Arial"/>
          <w:sz w:val="24"/>
          <w:szCs w:val="24"/>
        </w:rPr>
        <w:t>Año: Dato categórico</w:t>
      </w:r>
    </w:p>
    <w:p>
      <w:pPr>
        <w:pStyle w:val="style179"/>
        <w:numPr>
          <w:ilvl w:val="0"/>
          <w:numId w:val="11"/>
        </w:numPr>
        <w:ind w:left="720"/>
        <w:jc w:val="both"/>
        <w:rPr>
          <w:rFonts w:ascii="Arial" w:cs="Arial" w:hAnsi="Arial"/>
          <w:sz w:val="24"/>
          <w:szCs w:val="24"/>
        </w:rPr>
      </w:pPr>
      <w:r>
        <w:rPr>
          <w:rFonts w:ascii="Arial" w:cs="Arial" w:hAnsi="Arial"/>
          <w:sz w:val="24"/>
          <w:szCs w:val="24"/>
        </w:rPr>
        <w:t>Continente: Dato categórico</w:t>
      </w:r>
    </w:p>
    <w:p>
      <w:pPr>
        <w:pStyle w:val="style179"/>
        <w:numPr>
          <w:ilvl w:val="0"/>
          <w:numId w:val="11"/>
        </w:numPr>
        <w:ind w:left="720"/>
        <w:jc w:val="both"/>
        <w:rPr>
          <w:rFonts w:ascii="Arial" w:cs="Arial" w:hAnsi="Arial"/>
          <w:sz w:val="24"/>
          <w:szCs w:val="24"/>
        </w:rPr>
      </w:pPr>
      <w:r>
        <w:rPr>
          <w:rFonts w:ascii="Arial" w:cs="Arial" w:hAnsi="Arial"/>
          <w:sz w:val="24"/>
          <w:szCs w:val="24"/>
        </w:rPr>
        <w:t>Vía: Dato categórico</w:t>
      </w:r>
    </w:p>
    <w:p>
      <w:pPr>
        <w:pStyle w:val="style179"/>
        <w:numPr>
          <w:ilvl w:val="0"/>
          <w:numId w:val="11"/>
        </w:numPr>
        <w:ind w:left="720"/>
        <w:jc w:val="both"/>
        <w:rPr>
          <w:rFonts w:ascii="Arial" w:cs="Arial" w:hAnsi="Arial"/>
          <w:sz w:val="24"/>
          <w:szCs w:val="24"/>
        </w:rPr>
      </w:pPr>
      <w:r>
        <w:rPr>
          <w:rFonts w:ascii="Arial" w:cs="Arial" w:hAnsi="Arial"/>
          <w:sz w:val="24"/>
          <w:szCs w:val="24"/>
        </w:rPr>
        <w:t>Zonas francas: Dato categórico</w:t>
      </w:r>
    </w:p>
    <w:p>
      <w:pPr>
        <w:pStyle w:val="style179"/>
        <w:numPr>
          <w:ilvl w:val="0"/>
          <w:numId w:val="11"/>
        </w:numPr>
        <w:ind w:left="720"/>
        <w:jc w:val="both"/>
        <w:rPr>
          <w:rFonts w:ascii="Arial" w:cs="Arial" w:hAnsi="Arial"/>
          <w:sz w:val="24"/>
          <w:szCs w:val="24"/>
        </w:rPr>
      </w:pPr>
      <w:r>
        <w:rPr>
          <w:rFonts w:ascii="Arial" w:cs="Arial" w:hAnsi="Arial"/>
          <w:sz w:val="24"/>
          <w:szCs w:val="24"/>
        </w:rPr>
        <w:t>Puerto de desembarque: Dato categórico</w:t>
      </w:r>
    </w:p>
    <w:p>
      <w:pPr>
        <w:pStyle w:val="style179"/>
        <w:numPr>
          <w:ilvl w:val="0"/>
          <w:numId w:val="11"/>
        </w:numPr>
        <w:ind w:left="720"/>
        <w:jc w:val="both"/>
        <w:rPr>
          <w:rFonts w:ascii="Arial" w:cs="Arial" w:hAnsi="Arial"/>
          <w:sz w:val="24"/>
          <w:szCs w:val="24"/>
        </w:rPr>
      </w:pPr>
      <w:r>
        <w:rPr>
          <w:rFonts w:ascii="Arial" w:cs="Arial" w:hAnsi="Arial"/>
          <w:sz w:val="24"/>
          <w:szCs w:val="24"/>
        </w:rPr>
        <w:t xml:space="preserve">Mes: Dato categórico </w:t>
      </w:r>
    </w:p>
    <w:p>
      <w:pPr>
        <w:pStyle w:val="style179"/>
        <w:numPr>
          <w:ilvl w:val="0"/>
          <w:numId w:val="11"/>
        </w:numPr>
        <w:ind w:left="720"/>
        <w:jc w:val="both"/>
        <w:rPr>
          <w:rFonts w:ascii="Arial" w:cs="Arial" w:hAnsi="Arial"/>
          <w:sz w:val="24"/>
          <w:szCs w:val="24"/>
        </w:rPr>
      </w:pPr>
      <w:r>
        <w:rPr>
          <w:rFonts w:ascii="Arial" w:cs="Arial" w:hAnsi="Arial"/>
          <w:sz w:val="24"/>
          <w:szCs w:val="24"/>
        </w:rPr>
        <w:t>Arancel: Dato categórico</w:t>
      </w:r>
    </w:p>
    <w:p>
      <w:pPr>
        <w:pStyle w:val="style179"/>
        <w:numPr>
          <w:ilvl w:val="0"/>
          <w:numId w:val="11"/>
        </w:numPr>
        <w:ind w:left="720"/>
        <w:jc w:val="both"/>
        <w:rPr>
          <w:rFonts w:ascii="Arial" w:cs="Arial" w:hAnsi="Arial"/>
          <w:sz w:val="24"/>
          <w:szCs w:val="24"/>
        </w:rPr>
      </w:pPr>
      <w:r>
        <w:rPr>
          <w:rFonts w:ascii="Arial" w:cs="Arial" w:hAnsi="Arial"/>
          <w:sz w:val="24"/>
          <w:szCs w:val="24"/>
        </w:rPr>
        <w:t>Valor FOB: Dato numérico</w:t>
      </w:r>
    </w:p>
    <w:p>
      <w:pPr>
        <w:pStyle w:val="style179"/>
        <w:numPr>
          <w:ilvl w:val="0"/>
          <w:numId w:val="11"/>
        </w:numPr>
        <w:ind w:left="720"/>
        <w:jc w:val="both"/>
        <w:rPr>
          <w:rFonts w:ascii="Arial" w:cs="Arial" w:hAnsi="Arial"/>
          <w:sz w:val="24"/>
          <w:szCs w:val="24"/>
        </w:rPr>
      </w:pPr>
      <w:r>
        <w:rPr>
          <w:rFonts w:ascii="Arial" w:cs="Arial" w:hAnsi="Arial"/>
          <w:sz w:val="24"/>
          <w:szCs w:val="24"/>
        </w:rPr>
        <w:t>Peso Neto: Dato numérico</w:t>
      </w:r>
    </w:p>
    <w:p>
      <w:pPr>
        <w:pStyle w:val="style179"/>
        <w:ind w:left="0"/>
        <w:jc w:val="both"/>
        <w:rPr>
          <w:rFonts w:ascii="Arial" w:cs="Arial" w:hAnsi="Arial"/>
          <w:sz w:val="24"/>
          <w:szCs w:val="24"/>
        </w:rPr>
      </w:pPr>
      <w:r>
        <w:rPr>
          <w:rFonts w:ascii="Arial" w:cs="Arial" w:hAnsi="Arial"/>
          <w:sz w:val="24"/>
          <w:szCs w:val="24"/>
        </w:rPr>
        <w:t>Preguntas</w:t>
      </w:r>
    </w:p>
    <w:p>
      <w:pPr>
        <w:pStyle w:val="style179"/>
        <w:numPr>
          <w:ilvl w:val="0"/>
          <w:numId w:val="18"/>
        </w:numPr>
        <w:jc w:val="both"/>
        <w:rPr>
          <w:rFonts w:ascii="Arial" w:cs="Arial" w:hAnsi="Arial"/>
          <w:sz w:val="24"/>
          <w:szCs w:val="24"/>
        </w:rPr>
      </w:pPr>
      <w:r>
        <w:rPr>
          <w:rFonts w:ascii="Arial" w:cs="Arial" w:hAnsi="Arial"/>
          <w:sz w:val="24"/>
          <w:szCs w:val="24"/>
        </w:rPr>
        <w:t xml:space="preserve"> ¿Qué zona franca importa la mayor cantidad de peso </w:t>
      </w:r>
      <w:r>
        <w:rPr>
          <w:rFonts w:ascii="Arial" w:cs="Arial" w:hAnsi="Arial"/>
          <w:sz w:val="24"/>
          <w:szCs w:val="24"/>
        </w:rPr>
        <w:t>neto</w:t>
      </w:r>
      <w:r>
        <w:rPr>
          <w:rFonts w:ascii="Arial" w:cs="Arial" w:hAnsi="Arial"/>
          <w:sz w:val="24"/>
          <w:szCs w:val="24"/>
        </w:rPr>
        <w:t>?</w:t>
      </w:r>
    </w:p>
    <w:p>
      <w:pPr>
        <w:pStyle w:val="style179"/>
        <w:jc w:val="both"/>
        <w:rPr>
          <w:rFonts w:ascii="Arial" w:cs="Arial" w:hAnsi="Arial"/>
          <w:sz w:val="24"/>
          <w:szCs w:val="24"/>
        </w:rPr>
      </w:pPr>
      <w:r>
        <w:rPr>
          <w:rFonts w:ascii="Arial" w:cs="Arial" w:hAnsi="Arial"/>
          <w:sz w:val="24"/>
          <w:szCs w:val="24"/>
        </w:rPr>
        <w:t xml:space="preserve">La mayor parte de las importaciones de proyectores en zonas francas son realizadas por </w:t>
      </w:r>
      <w:r>
        <w:rPr>
          <w:rFonts w:ascii="Arial" w:cs="Arial" w:hAnsi="Arial"/>
          <w:sz w:val="24"/>
          <w:szCs w:val="24"/>
        </w:rPr>
        <w:t>Panamá Pacifico</w:t>
      </w:r>
      <w:r>
        <w:rPr>
          <w:rFonts w:ascii="Arial" w:cs="Arial" w:hAnsi="Arial"/>
          <w:sz w:val="24"/>
          <w:szCs w:val="24"/>
        </w:rPr>
        <w:t>, como se observa en la siguiente grafica</w:t>
      </w:r>
    </w:p>
    <w:p>
      <w:pPr>
        <w:pStyle w:val="style179"/>
        <w:jc w:val="both"/>
        <w:rPr>
          <w:rFonts w:ascii="Arial" w:cs="Arial" w:hAnsi="Arial"/>
          <w:sz w:val="24"/>
          <w:szCs w:val="24"/>
        </w:rPr>
      </w:pPr>
      <w:r>
        <w:rPr>
          <w:noProof/>
        </w:rPr>
      </w:r>
      <w:r>
        <w:rPr>
          <w:noProof/>
        </w:rPr>
      </w:r>
      <w:r>
        <w:rPr>
          <w:noProof/>
        </w:rPr>
      </w:r>
      <w:r>
        <w:rPr>
          <w:noProof/>
        </w:rPr>
        <w:drawing>
          <wp:inline distL="114300" distT="0" distB="0" distR="114300">
            <wp:extent cx="4572000" cy="2743200"/>
            <wp:effectExtent l="0" t="0" r="0" b="0"/>
            <wp:docPr id="11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r>
        <w:rPr>
          <w:noProof/>
        </w:rPr>
      </w:r>
    </w:p>
    <w:p>
      <w:pPr>
        <w:pStyle w:val="style179"/>
        <w:jc w:val="both"/>
        <w:rPr>
          <w:rFonts w:ascii="Arial" w:cs="Arial" w:hAnsi="Arial"/>
          <w:sz w:val="24"/>
          <w:szCs w:val="24"/>
        </w:rPr>
      </w:pPr>
    </w:p>
    <w:p>
      <w:pPr>
        <w:pStyle w:val="style179"/>
        <w:jc w:val="both"/>
        <w:rPr>
          <w:rFonts w:ascii="Arial" w:cs="Arial" w:hAnsi="Arial"/>
          <w:sz w:val="24"/>
          <w:szCs w:val="24"/>
        </w:rPr>
      </w:pPr>
      <w:r>
        <w:rPr>
          <w:rFonts w:ascii="Arial" w:cs="Arial" w:hAnsi="Arial"/>
          <w:sz w:val="24"/>
          <w:szCs w:val="24"/>
        </w:rPr>
        <w:t xml:space="preserve">La mayoría de las importaciones se dan </w:t>
      </w:r>
      <w:r>
        <w:rPr>
          <w:rFonts w:ascii="Arial" w:cs="Arial" w:hAnsi="Arial"/>
          <w:sz w:val="24"/>
          <w:szCs w:val="24"/>
        </w:rPr>
        <w:t>en Panamá Pacifico y Panexport</w:t>
      </w:r>
    </w:p>
    <w:p>
      <w:pPr>
        <w:pStyle w:val="style179"/>
        <w:jc w:val="both"/>
        <w:rPr>
          <w:rFonts w:ascii="Arial" w:cs="Arial" w:hAnsi="Arial"/>
          <w:sz w:val="24"/>
          <w:szCs w:val="24"/>
        </w:rPr>
      </w:pPr>
    </w:p>
    <w:p>
      <w:pPr>
        <w:pStyle w:val="style179"/>
        <w:jc w:val="both"/>
        <w:rPr>
          <w:rFonts w:ascii="Arial" w:cs="Arial" w:hAnsi="Arial"/>
          <w:sz w:val="24"/>
          <w:szCs w:val="24"/>
        </w:rPr>
      </w:pPr>
      <w:r>
        <w:rPr>
          <w:rFonts w:ascii="Arial" w:cs="Arial" w:hAnsi="Arial"/>
          <w:sz w:val="24"/>
          <w:szCs w:val="24"/>
        </w:rPr>
        <w:t>Debido a esto no se tendrán en cuenta sus datos para las siguientes preguntas</w:t>
      </w:r>
    </w:p>
    <w:p>
      <w:pPr>
        <w:pStyle w:val="style179"/>
        <w:jc w:val="both"/>
        <w:rPr>
          <w:rFonts w:ascii="Arial" w:cs="Arial" w:hAnsi="Arial"/>
          <w:sz w:val="24"/>
          <w:szCs w:val="24"/>
        </w:rPr>
      </w:pPr>
    </w:p>
    <w:p>
      <w:pPr>
        <w:pStyle w:val="style179"/>
        <w:numPr>
          <w:ilvl w:val="0"/>
          <w:numId w:val="18"/>
        </w:numPr>
        <w:jc w:val="both"/>
        <w:rPr>
          <w:rFonts w:ascii="Arial" w:cs="Arial" w:hAnsi="Arial"/>
          <w:sz w:val="24"/>
          <w:szCs w:val="24"/>
        </w:rPr>
      </w:pPr>
      <w:r>
        <w:rPr>
          <w:rFonts w:ascii="Arial" w:cs="Arial" w:hAnsi="Arial"/>
          <w:sz w:val="24"/>
          <w:szCs w:val="24"/>
        </w:rPr>
        <w:t>¿Cómo se ha comportado la importación de este arancel?</w:t>
      </w:r>
    </w:p>
    <w:p>
      <w:pPr>
        <w:pStyle w:val="style179"/>
        <w:jc w:val="both"/>
        <w:rPr>
          <w:rFonts w:ascii="Arial" w:cs="Arial" w:hAnsi="Arial"/>
          <w:sz w:val="24"/>
          <w:szCs w:val="24"/>
        </w:rPr>
      </w:pPr>
      <w:r>
        <w:rPr>
          <w:rFonts w:ascii="Arial" w:cs="Arial" w:hAnsi="Arial"/>
          <w:sz w:val="24"/>
          <w:szCs w:val="24"/>
        </w:rPr>
        <w:t>Las importaciones de este arancel han disminuido como se aprecia en la siguiente grafica</w:t>
      </w:r>
    </w:p>
    <w:p>
      <w:pPr>
        <w:pStyle w:val="style179"/>
        <w:jc w:val="both"/>
        <w:rPr>
          <w:rFonts w:ascii="Arial" w:cs="Arial" w:hAnsi="Arial"/>
          <w:sz w:val="24"/>
          <w:szCs w:val="24"/>
        </w:rPr>
      </w:pPr>
      <w:r>
        <w:rPr>
          <w:noProof/>
        </w:rPr>
      </w:r>
      <w:r>
        <w:rPr>
          <w:noProof/>
        </w:rPr>
      </w:r>
      <w:r>
        <w:rPr>
          <w:noProof/>
        </w:rPr>
      </w:r>
      <w:r>
        <w:rPr>
          <w:noProof/>
        </w:rPr>
        <w:drawing>
          <wp:inline distL="114300" distT="0" distB="0" distR="114300">
            <wp:extent cx="4572000" cy="2743200"/>
            <wp:effectExtent l="0" t="0" r="0" b="0"/>
            <wp:docPr id="11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r>
        <w:rPr>
          <w:noProof/>
        </w:rPr>
      </w:r>
    </w:p>
    <w:p>
      <w:pPr>
        <w:pStyle w:val="style179"/>
        <w:numPr>
          <w:ilvl w:val="0"/>
          <w:numId w:val="18"/>
        </w:numPr>
        <w:jc w:val="both"/>
        <w:rPr>
          <w:rFonts w:ascii="Arial" w:cs="Arial" w:hAnsi="Arial"/>
          <w:sz w:val="24"/>
          <w:szCs w:val="24"/>
        </w:rPr>
      </w:pPr>
      <w:r>
        <w:rPr>
          <w:rFonts w:ascii="Arial" w:cs="Arial" w:hAnsi="Arial"/>
          <w:sz w:val="24"/>
          <w:szCs w:val="24"/>
        </w:rPr>
        <w:t>¿</w:t>
      </w:r>
      <w:r>
        <w:rPr>
          <w:rFonts w:ascii="Arial" w:cs="Arial" w:hAnsi="Arial"/>
          <w:sz w:val="24"/>
          <w:szCs w:val="24"/>
        </w:rPr>
        <w:t xml:space="preserve">Por cuál vía llega a Panamá </w:t>
      </w:r>
      <w:r>
        <w:rPr>
          <w:rFonts w:ascii="Arial" w:cs="Arial" w:hAnsi="Arial"/>
          <w:sz w:val="24"/>
          <w:szCs w:val="24"/>
        </w:rPr>
        <w:t>la mayoría de esta mercancía?</w:t>
      </w:r>
    </w:p>
    <w:p>
      <w:pPr>
        <w:pStyle w:val="style179"/>
        <w:jc w:val="both"/>
        <w:rPr>
          <w:rFonts w:ascii="Arial" w:cs="Arial" w:hAnsi="Arial"/>
          <w:sz w:val="24"/>
          <w:szCs w:val="24"/>
        </w:rPr>
      </w:pPr>
      <w:r>
        <w:rPr>
          <w:rFonts w:ascii="Arial" w:cs="Arial" w:hAnsi="Arial"/>
          <w:sz w:val="24"/>
          <w:szCs w:val="24"/>
        </w:rPr>
        <w:t xml:space="preserve">La vía para las importaciones de esta dividida entre la </w:t>
      </w:r>
      <w:r>
        <w:rPr>
          <w:rFonts w:ascii="Arial" w:cs="Arial" w:hAnsi="Arial"/>
          <w:sz w:val="24"/>
          <w:szCs w:val="24"/>
        </w:rPr>
        <w:t>aerea</w:t>
      </w:r>
      <w:r>
        <w:rPr>
          <w:rFonts w:ascii="Arial" w:cs="Arial" w:hAnsi="Arial"/>
          <w:sz w:val="24"/>
          <w:szCs w:val="24"/>
        </w:rPr>
        <w:t xml:space="preserve"> utilizada por la zona franca de Pan</w:t>
      </w:r>
      <w:r>
        <w:rPr>
          <w:rFonts w:ascii="Arial" w:cs="Arial" w:hAnsi="Arial"/>
          <w:sz w:val="24"/>
          <w:szCs w:val="24"/>
        </w:rPr>
        <w:t>a</w:t>
      </w:r>
      <w:r>
        <w:rPr>
          <w:rFonts w:ascii="Arial" w:cs="Arial" w:hAnsi="Arial"/>
          <w:sz w:val="24"/>
          <w:szCs w:val="24"/>
        </w:rPr>
        <w:t xml:space="preserve">má pacífico, mientras </w:t>
      </w:r>
      <w:r>
        <w:rPr>
          <w:rFonts w:ascii="Arial" w:cs="Arial" w:hAnsi="Arial"/>
          <w:sz w:val="24"/>
          <w:szCs w:val="24"/>
        </w:rPr>
        <w:t xml:space="preserve">que Panexport </w:t>
      </w:r>
      <w:r>
        <w:rPr>
          <w:rFonts w:ascii="Arial" w:cs="Arial" w:hAnsi="Arial"/>
          <w:sz w:val="24"/>
          <w:szCs w:val="24"/>
        </w:rPr>
        <w:t xml:space="preserve">utiliza la vía </w:t>
      </w:r>
      <w:r>
        <w:rPr>
          <w:rFonts w:ascii="Arial" w:cs="Arial" w:hAnsi="Arial"/>
          <w:sz w:val="24"/>
          <w:szCs w:val="24"/>
        </w:rPr>
        <w:t>maritima</w:t>
      </w:r>
      <w:r>
        <w:rPr>
          <w:rFonts w:ascii="Arial" w:cs="Arial" w:hAnsi="Arial"/>
          <w:sz w:val="24"/>
          <w:szCs w:val="24"/>
        </w:rPr>
        <w:t xml:space="preserve"> para recibir las importaciones</w:t>
      </w:r>
    </w:p>
    <w:p>
      <w:pPr>
        <w:pStyle w:val="style179"/>
        <w:jc w:val="both"/>
        <w:rPr>
          <w:rFonts w:ascii="Arial" w:cs="Arial" w:hAnsi="Arial"/>
          <w:sz w:val="24"/>
          <w:szCs w:val="24"/>
        </w:rPr>
      </w:pPr>
      <w:r>
        <w:rPr>
          <w:noProof/>
        </w:rPr>
      </w:r>
      <w:r>
        <w:rPr>
          <w:noProof/>
        </w:rPr>
      </w:r>
      <w:r>
        <w:rPr>
          <w:noProof/>
        </w:rPr>
      </w:r>
      <w:r>
        <w:rPr>
          <w:noProof/>
        </w:rPr>
        <w:drawing>
          <wp:inline distL="114300" distT="0" distB="0" distR="114300">
            <wp:extent cx="4587240" cy="2743200"/>
            <wp:effectExtent l="0" t="0" r="0" b="0"/>
            <wp:docPr id="11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r>
        <w:rPr>
          <w:noProof/>
        </w:rPr>
      </w: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sz w:val="24"/>
          <w:szCs w:val="24"/>
        </w:rPr>
      </w:pPr>
    </w:p>
    <w:p>
      <w:pPr>
        <w:pStyle w:val="style179"/>
        <w:jc w:val="both"/>
        <w:rPr>
          <w:rFonts w:ascii="Arial" w:cs="Arial" w:hAnsi="Arial"/>
          <w:sz w:val="24"/>
          <w:szCs w:val="24"/>
        </w:rPr>
      </w:pPr>
    </w:p>
    <w:p>
      <w:pPr>
        <w:pStyle w:val="style179"/>
        <w:numPr>
          <w:ilvl w:val="0"/>
          <w:numId w:val="18"/>
        </w:numPr>
        <w:jc w:val="both"/>
        <w:rPr>
          <w:rFonts w:ascii="Arial" w:cs="Arial" w:hAnsi="Arial"/>
          <w:sz w:val="24"/>
          <w:szCs w:val="24"/>
        </w:rPr>
      </w:pPr>
      <w:r>
        <w:rPr>
          <w:rFonts w:ascii="Arial" w:cs="Arial" w:hAnsi="Arial"/>
          <w:sz w:val="24"/>
          <w:szCs w:val="24"/>
        </w:rPr>
        <w:t xml:space="preserve">¿Promedio de </w:t>
      </w:r>
      <w:r>
        <w:rPr>
          <w:rFonts w:ascii="Arial" w:cs="Arial" w:hAnsi="Arial"/>
          <w:sz w:val="24"/>
          <w:szCs w:val="24"/>
        </w:rPr>
        <w:t xml:space="preserve">valor CIF </w:t>
      </w:r>
      <w:r>
        <w:rPr>
          <w:rFonts w:ascii="Arial" w:cs="Arial" w:hAnsi="Arial"/>
          <w:sz w:val="24"/>
          <w:szCs w:val="24"/>
        </w:rPr>
        <w:t>importado</w:t>
      </w:r>
      <w:r>
        <w:rPr>
          <w:rFonts w:ascii="Arial" w:cs="Arial" w:hAnsi="Arial"/>
          <w:sz w:val="24"/>
          <w:szCs w:val="24"/>
        </w:rPr>
        <w:t xml:space="preserve"> en el periodo estudiado?</w:t>
      </w:r>
    </w:p>
    <w:p>
      <w:pPr>
        <w:pStyle w:val="style179"/>
        <w:jc w:val="both"/>
        <w:rPr>
          <w:rFonts w:ascii="Arial" w:cs="Arial" w:hAnsi="Arial"/>
          <w:sz w:val="24"/>
          <w:szCs w:val="24"/>
        </w:rPr>
      </w:pPr>
      <w:r>
        <w:rPr>
          <w:rFonts w:ascii="Arial" w:cs="Arial" w:hAnsi="Arial"/>
          <w:sz w:val="24"/>
          <w:szCs w:val="24"/>
        </w:rPr>
        <w:t>Podemos ver el análisis de los datos numéricos del peso en la siguiente imagen</w:t>
      </w:r>
    </w:p>
    <w:p>
      <w:pPr>
        <w:pStyle w:val="style179"/>
        <w:jc w:val="both"/>
        <w:rPr>
          <w:rFonts w:ascii="Arial" w:cs="Arial" w:hAnsi="Arial"/>
          <w:sz w:val="24"/>
          <w:szCs w:val="24"/>
        </w:rPr>
      </w:pPr>
      <w:r>
        <w:rPr>
          <w:rFonts w:ascii="Arial" w:cs="Arial" w:hAnsi="Arial"/>
          <w:sz w:val="24"/>
          <w:szCs w:val="24"/>
        </w:rPr>
        <w:object>
          <v:shape id="1135" type="#_x0000_t75" filled="f" stroked="f" alt="Tabla&#10;&#10;Descripción generada automáticamente" style="margin-left:0.0pt;margin-top:0.0pt;width:358.55pt;height:92.26pt;mso-wrap-distance-left:0.0pt;mso-wrap-distance-right:0.0pt;visibility:visible;">
            <w10:anchorlock/>
            <v:imagedata r:id="rId77" embosscolor="white" o:title=""/>
            <v:fill/>
          </v:shape>
          <o:OLEObject Type="EMBED" ProgID="Excel.Chart.8" ShapeID="1135" DrawAspect="Content" ObjectID="0" r:id="rId78"/>
        </w:object>
      </w:r>
    </w:p>
    <w:p>
      <w:pPr>
        <w:pStyle w:val="style179"/>
        <w:jc w:val="center"/>
        <w:rPr>
          <w:rFonts w:ascii="Arial" w:cs="Arial" w:hAnsi="Arial"/>
          <w:sz w:val="24"/>
          <w:szCs w:val="24"/>
        </w:rPr>
      </w:pPr>
    </w:p>
    <w:p>
      <w:pPr>
        <w:pStyle w:val="style179"/>
        <w:numPr>
          <w:ilvl w:val="0"/>
          <w:numId w:val="18"/>
        </w:numPr>
        <w:jc w:val="both"/>
        <w:rPr>
          <w:rFonts w:ascii="Arial" w:cs="Arial" w:hAnsi="Arial"/>
          <w:sz w:val="24"/>
          <w:szCs w:val="24"/>
        </w:rPr>
      </w:pPr>
      <w:r>
        <w:rPr>
          <w:rFonts w:ascii="Arial" w:cs="Arial" w:hAnsi="Arial"/>
          <w:sz w:val="24"/>
          <w:szCs w:val="24"/>
        </w:rPr>
        <w:t>¿Promedio de valor FOB pagado en el periodo estudiado?</w:t>
      </w:r>
    </w:p>
    <w:p>
      <w:pPr>
        <w:pStyle w:val="style179"/>
        <w:jc w:val="center"/>
        <w:rPr>
          <w:rFonts w:ascii="Arial" w:cs="Arial" w:hAnsi="Arial"/>
          <w:sz w:val="24"/>
          <w:szCs w:val="24"/>
        </w:rPr>
      </w:pPr>
      <w:r>
        <w:rPr>
          <w:rFonts w:ascii="Arial" w:cs="Arial" w:hAnsi="Arial"/>
          <w:sz w:val="24"/>
          <w:szCs w:val="24"/>
        </w:rPr>
        <w:drawing>
          <wp:inline distL="0" distT="0" distB="0" distR="0">
            <wp:extent cx="4620270" cy="1047896"/>
            <wp:effectExtent l="0" t="0" r="8890" b="0"/>
            <wp:docPr id="1136" name="Imagen 1" descr="Tabla&#10;&#10;Descripción generada automáticamente con confianza baja"/>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Imagen 1"/>
                    <pic:cNvPicPr/>
                  </pic:nvPicPr>
                  <pic:blipFill>
                    <a:blip r:embed="rId79" cstate="print"/>
                    <a:srcRect l="0" t="0" r="0" b="0"/>
                    <a:stretch/>
                  </pic:blipFill>
                  <pic:spPr>
                    <a:xfrm rot="0">
                      <a:off x="0" y="0"/>
                      <a:ext cx="4620270" cy="1047896"/>
                    </a:xfrm>
                    <a:prstGeom prst="rect"/>
                  </pic:spPr>
                </pic:pic>
              </a:graphicData>
            </a:graphic>
          </wp:inline>
        </w:drawing>
      </w:r>
    </w:p>
    <w:p>
      <w:pPr>
        <w:pStyle w:val="style179"/>
        <w:numPr>
          <w:ilvl w:val="0"/>
          <w:numId w:val="18"/>
        </w:numPr>
        <w:jc w:val="both"/>
        <w:rPr>
          <w:rFonts w:ascii="Arial" w:cs="Arial" w:hAnsi="Arial"/>
          <w:sz w:val="24"/>
          <w:szCs w:val="24"/>
        </w:rPr>
      </w:pPr>
      <w:r>
        <w:rPr>
          <w:rFonts w:ascii="Arial" w:cs="Arial" w:hAnsi="Arial"/>
          <w:sz w:val="24"/>
          <w:szCs w:val="24"/>
        </w:rPr>
        <w:t xml:space="preserve">¿Cuál es la correlación entre peso </w:t>
      </w:r>
      <w:r>
        <w:rPr>
          <w:rFonts w:ascii="Arial" w:cs="Arial" w:hAnsi="Arial"/>
          <w:sz w:val="24"/>
          <w:szCs w:val="24"/>
        </w:rPr>
        <w:t>neto</w:t>
      </w:r>
      <w:r>
        <w:rPr>
          <w:rFonts w:ascii="Arial" w:cs="Arial" w:hAnsi="Arial"/>
          <w:sz w:val="24"/>
          <w:szCs w:val="24"/>
        </w:rPr>
        <w:t xml:space="preserve"> y valor FOB?</w:t>
      </w:r>
    </w:p>
    <w:p>
      <w:pPr>
        <w:pStyle w:val="style179"/>
        <w:jc w:val="both"/>
        <w:rPr>
          <w:rFonts w:ascii="Arial" w:cs="Arial" w:hAnsi="Arial"/>
          <w:sz w:val="24"/>
          <w:szCs w:val="24"/>
        </w:rPr>
      </w:pPr>
      <w:r>
        <w:rPr>
          <w:rFonts w:ascii="Arial" w:cs="Arial" w:hAnsi="Arial"/>
          <w:sz w:val="24"/>
          <w:szCs w:val="24"/>
        </w:rPr>
        <w:t>Para observar esto sacamos la gráfica con lo</w:t>
      </w:r>
      <w:r>
        <w:rPr>
          <w:rFonts w:ascii="Arial" w:cs="Arial" w:hAnsi="Arial"/>
          <w:sz w:val="24"/>
          <w:szCs w:val="24"/>
        </w:rPr>
        <w:t>s diversos puntos de la muestra</w:t>
      </w:r>
    </w:p>
    <w:p>
      <w:pPr>
        <w:pStyle w:val="style179"/>
        <w:jc w:val="both"/>
        <w:rPr>
          <w:rFonts w:ascii="Arial" w:cs="Arial" w:hAnsi="Arial"/>
          <w:sz w:val="24"/>
          <w:szCs w:val="24"/>
        </w:rPr>
      </w:pPr>
      <w:r>
        <w:rPr>
          <w:rFonts w:ascii="Arial" w:cs="Arial" w:hAnsi="Arial"/>
          <w:sz w:val="24"/>
          <w:szCs w:val="24"/>
        </w:rPr>
        <w:t>.</w:t>
      </w:r>
    </w:p>
    <w:p>
      <w:pPr>
        <w:pStyle w:val="style0"/>
        <w:ind w:left="360"/>
        <w:jc w:val="center"/>
        <w:rPr>
          <w:rFonts w:ascii="Arial" w:cs="Arial" w:hAnsi="Arial"/>
          <w:sz w:val="24"/>
          <w:szCs w:val="24"/>
        </w:rPr>
      </w:pPr>
      <w:r>
        <w:rPr>
          <w:noProof/>
        </w:rPr>
      </w:r>
      <w:r>
        <w:rPr>
          <w:noProof/>
        </w:rPr>
      </w:r>
      <w:r>
        <w:rPr>
          <w:noProof/>
        </w:rPr>
      </w:r>
      <w:r>
        <w:rPr>
          <w:noProof/>
        </w:rPr>
        <w:drawing>
          <wp:inline distL="114300" distT="0" distB="0" distR="114300">
            <wp:extent cx="4572000" cy="2743200"/>
            <wp:effectExtent l="0" t="0" r="0" b="0"/>
            <wp:docPr id="113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inline>
        </w:drawing>
      </w:r>
      <w:r>
        <w:rPr>
          <w:noProof/>
        </w:rPr>
      </w:r>
    </w:p>
    <w:p>
      <w:pPr>
        <w:pStyle w:val="style0"/>
        <w:rPr>
          <w:rFonts w:ascii="Arial" w:cs="Arial" w:hAnsi="Arial"/>
          <w:sz w:val="24"/>
          <w:szCs w:val="24"/>
        </w:rPr>
      </w:pPr>
      <w:r>
        <w:rPr>
          <w:rFonts w:ascii="Arial" w:cs="Arial" w:hAnsi="Arial"/>
          <w:sz w:val="24"/>
          <w:szCs w:val="24"/>
        </w:rPr>
        <w:t>En esta nueva grafica se observa que no existe una relación fuerte entre las variables estudiadas</w:t>
      </w:r>
    </w:p>
    <w:p>
      <w:pPr>
        <w:pStyle w:val="style0"/>
        <w:jc w:val="both"/>
        <w:rPr>
          <w:rFonts w:ascii="Arial" w:cs="Arial" w:hAnsi="Arial"/>
          <w:sz w:val="24"/>
          <w:szCs w:val="24"/>
        </w:rPr>
      </w:pPr>
      <w:r>
        <w:rPr>
          <w:rFonts w:ascii="Arial" w:cs="Arial" w:hAnsi="Arial"/>
          <w:sz w:val="24"/>
          <w:szCs w:val="24"/>
        </w:rPr>
        <w:t>La regresión lineal nos da la siguiente ecuación para el valor de y:</w:t>
      </w:r>
    </w:p>
    <w:p>
      <w:pPr>
        <w:pStyle w:val="style0"/>
        <w:jc w:val="center"/>
        <w:rPr>
          <w:rFonts w:ascii="Cambria Math" w:cs="Arial" w:hAnsi="Cambria Math"/>
          <w:sz w:val="32"/>
          <w:szCs w:val="24"/>
          <w:lang w:val="en-US"/>
        </w:rPr>
      </w:pPr>
      <w:r>
        <w:rPr>
          <w:rFonts w:ascii="Cambria Math" w:cs="Arial" w:hAnsi="Cambria Math"/>
          <w:sz w:val="32"/>
          <w:szCs w:val="24"/>
          <w:lang w:val="en-US"/>
        </w:rPr>
        <w:t>y = 0.8693x + 13.871</w:t>
      </w:r>
    </w:p>
    <w:p>
      <w:pPr>
        <w:pStyle w:val="style0"/>
        <w:jc w:val="center"/>
        <w:rPr>
          <w:rFonts w:ascii="Arial" w:cs="Arial" w:hAnsi="Arial"/>
          <w:sz w:val="32"/>
          <w:szCs w:val="24"/>
        </w:rPr>
      </w:pPr>
    </w:p>
    <w:p>
      <w:pPr>
        <w:pStyle w:val="style0"/>
        <w:jc w:val="both"/>
        <w:rPr>
          <w:rFonts w:ascii="Arial" w:cs="Arial" w:hAnsi="Arial"/>
          <w:sz w:val="24"/>
          <w:szCs w:val="24"/>
        </w:rPr>
      </w:pPr>
      <w:r>
        <w:rPr>
          <w:rFonts w:ascii="Arial" w:cs="Arial" w:hAnsi="Arial"/>
          <w:sz w:val="24"/>
          <w:szCs w:val="24"/>
        </w:rPr>
        <w:t>Podemos conseguir el intervalo de confianza al 95% para la intercepción y la variable x1</w:t>
      </w:r>
    </w:p>
    <w:p>
      <w:pPr>
        <w:pStyle w:val="style0"/>
        <w:ind w:left="360"/>
        <w:jc w:val="center"/>
        <w:rPr>
          <w:rFonts w:ascii="Arial" w:cs="Arial" w:hAnsi="Arial"/>
          <w:sz w:val="24"/>
          <w:szCs w:val="24"/>
        </w:rPr>
      </w:pPr>
      <w:r>
        <w:rPr>
          <w:rFonts w:ascii="Arial" w:cs="Arial" w:hAnsi="Arial"/>
          <w:sz w:val="24"/>
          <w:szCs w:val="24"/>
        </w:rPr>
        <w:object>
          <v:shape id="1139" type="#_x0000_t75" filled="f" stroked="f" alt="Tabla&#10;&#10;Descripción generada automáticamente" style="margin-left:0.0pt;margin-top:0.0pt;width:248.28pt;height:111.77pt;mso-wrap-distance-left:0.0pt;mso-wrap-distance-right:0.0pt;visibility:visible;">
            <w10:anchorlock/>
            <v:imagedata r:id="rId81" embosscolor="white" o:title=""/>
            <v:fill/>
          </v:shape>
          <o:OLEObject Type="EMBED" ProgID="Excel.Chart.8" ShapeID="1139" DrawAspect="Content" ObjectID="0" r:id="rId82"/>
        </w:object>
      </w:r>
    </w:p>
    <w:p>
      <w:pPr>
        <w:pStyle w:val="style0"/>
        <w:ind w:left="360"/>
        <w:jc w:val="both"/>
        <w:rPr>
          <w:rFonts w:ascii="Arial" w:cs="Arial" w:hAnsi="Arial"/>
          <w:sz w:val="24"/>
          <w:szCs w:val="24"/>
        </w:rPr>
      </w:pPr>
    </w:p>
    <w:p>
      <w:pPr>
        <w:pStyle w:val="style0"/>
        <w:jc w:val="both"/>
        <w:rPr>
          <w:rFonts w:ascii="Arial" w:cs="Arial" w:hAnsi="Arial"/>
          <w:sz w:val="24"/>
          <w:szCs w:val="24"/>
        </w:rPr>
      </w:pPr>
      <w:r>
        <w:rPr>
          <w:rFonts w:ascii="Arial" w:cs="Arial" w:hAnsi="Arial"/>
          <w:sz w:val="24"/>
          <w:szCs w:val="24"/>
        </w:rPr>
        <w:t>El intervalo de confianza al 95% para la intercepción (β0) y el coeficiente de x1 (β1) nos indica que, si tomamos muchas muestras diferentes y calculamos el intervalo de confianza para cada muestra, aproximadamente el 95% de esos intervalos contendrían los verdaderos valores poblacionales de la intercepción y el coeficiente de x1.</w:t>
      </w:r>
    </w:p>
    <w:p>
      <w:pPr>
        <w:pStyle w:val="style0"/>
        <w:ind w:left="360"/>
        <w:jc w:val="both"/>
        <w:rPr>
          <w:rFonts w:ascii="Arial" w:cs="Arial" w:hAnsi="Arial"/>
          <w:sz w:val="24"/>
          <w:szCs w:val="24"/>
        </w:rPr>
      </w:pPr>
    </w:p>
    <w:p>
      <w:pPr>
        <w:pStyle w:val="style0"/>
        <w:jc w:val="both"/>
        <w:rPr>
          <w:rFonts w:ascii="Arial" w:cs="Arial" w:hAnsi="Arial"/>
          <w:sz w:val="24"/>
          <w:szCs w:val="24"/>
        </w:rPr>
      </w:pPr>
      <w:r>
        <w:rPr>
          <w:rFonts w:ascii="Arial" w:cs="Arial" w:hAnsi="Arial"/>
          <w:sz w:val="24"/>
          <w:szCs w:val="24"/>
        </w:rPr>
        <w:t>En las siguiente imagen podemos observar los datos de la regresión lineal incluyendo el valor de R^2 el cual indica nos confirma que no existe una relación  fuerte entre las variables estudiadas, debido a que el valor de R^2 se encuentra muy lejos de 1</w:t>
      </w:r>
    </w:p>
    <w:p>
      <w:pPr>
        <w:pStyle w:val="style0"/>
        <w:ind w:left="360"/>
        <w:jc w:val="center"/>
        <w:rPr>
          <w:rFonts w:ascii="Arial" w:cs="Arial" w:hAnsi="Arial"/>
          <w:sz w:val="24"/>
          <w:szCs w:val="24"/>
        </w:rPr>
      </w:pPr>
      <w:r>
        <w:rPr>
          <w:rFonts w:ascii="Arial" w:cs="Arial" w:hAnsi="Arial"/>
          <w:sz w:val="24"/>
          <w:szCs w:val="24"/>
        </w:rPr>
        <w:drawing>
          <wp:inline distL="0" distT="0" distB="0" distR="0">
            <wp:extent cx="4549140" cy="1472806"/>
            <wp:effectExtent l="0" t="0" r="3810" b="0"/>
            <wp:docPr id="1140" name="Imagen 1" descr="Tabla&#10;&#10;Descripción generada automáticament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6" name="Imagen 1"/>
                    <pic:cNvPicPr/>
                  </pic:nvPicPr>
                  <pic:blipFill>
                    <a:blip r:embed="rId83" cstate="print"/>
                    <a:srcRect l="0" t="0" r="0" b="0"/>
                    <a:stretch/>
                  </pic:blipFill>
                  <pic:spPr>
                    <a:xfrm rot="0">
                      <a:off x="0" y="0"/>
                      <a:ext cx="4549140" cy="1472806"/>
                    </a:xfrm>
                    <a:prstGeom prst="rect"/>
                  </pic:spPr>
                </pic:pic>
              </a:graphicData>
            </a:graphic>
          </wp:inline>
        </w:drawing>
      </w:r>
    </w:p>
    <w:p>
      <w:pPr>
        <w:pStyle w:val="style0"/>
        <w:ind w:left="360"/>
        <w:jc w:val="center"/>
        <w:rPr>
          <w:rFonts w:ascii="Arial" w:cs="Arial" w:hAnsi="Arial"/>
          <w:sz w:val="24"/>
          <w:szCs w:val="24"/>
        </w:rPr>
      </w:pPr>
    </w:p>
    <w:p>
      <w:pPr>
        <w:pStyle w:val="style0"/>
        <w:jc w:val="both"/>
        <w:rPr>
          <w:rFonts w:ascii="Arial" w:cs="Arial" w:hAnsi="Arial"/>
          <w:sz w:val="24"/>
          <w:szCs w:val="24"/>
        </w:rPr>
      </w:pPr>
      <w:r>
        <w:rPr>
          <w:rFonts w:ascii="Arial" w:cs="Arial" w:hAnsi="Arial"/>
          <w:sz w:val="24"/>
          <w:szCs w:val="24"/>
        </w:rPr>
        <w:t>A continuación formulamos nuestras hipótesis para comprobarlas con análisis a ANOVA y la prueba F</w:t>
      </w:r>
    </w:p>
    <w:p>
      <w:pPr>
        <w:pStyle w:val="style0"/>
        <w:jc w:val="both"/>
        <w:rPr>
          <w:rFonts w:ascii="Arial" w:cs="Arial" w:hAnsi="Arial"/>
          <w:sz w:val="24"/>
          <w:szCs w:val="24"/>
        </w:rPr>
      </w:pPr>
      <w:r>
        <w:rPr>
          <w:rFonts w:ascii="Arial" w:cs="Arial" w:hAnsi="Arial"/>
          <w:sz w:val="24"/>
          <w:szCs w:val="24"/>
        </w:rPr>
        <w:t>Hipótesis nula (H0):</w:t>
      </w:r>
    </w:p>
    <w:p>
      <w:pPr>
        <w:pStyle w:val="style0"/>
        <w:jc w:val="both"/>
        <w:rPr>
          <w:rFonts w:ascii="Arial" w:cs="Arial" w:hAnsi="Arial"/>
          <w:sz w:val="24"/>
          <w:szCs w:val="24"/>
        </w:rPr>
      </w:pPr>
      <w:r>
        <w:rPr>
          <w:rFonts w:ascii="Arial" w:cs="Arial" w:hAnsi="Arial"/>
          <w:sz w:val="24"/>
          <w:szCs w:val="24"/>
        </w:rPr>
        <w:t>No hay relación significativa entre el peso y el valor FOB. En términos de coeficientes de regresión, esto se expresa como:</w:t>
      </w:r>
    </w:p>
    <w:p>
      <w:pPr>
        <w:pStyle w:val="style0"/>
        <w:jc w:val="both"/>
        <w:rPr>
          <w:rFonts w:ascii="Arial" w:cs="Arial" w:hAnsi="Arial"/>
          <w:sz w:val="24"/>
          <w:szCs w:val="24"/>
        </w:rPr>
      </w:pPr>
      <w:r>
        <w:rPr>
          <w:rFonts w:ascii="Arial" w:cs="Arial" w:hAnsi="Arial"/>
          <w:sz w:val="24"/>
          <w:szCs w:val="24"/>
        </w:rPr>
        <w:t>H0: El coeficiente de la variab</w:t>
      </w:r>
      <w:r>
        <w:rPr>
          <w:rFonts w:ascii="Arial" w:cs="Arial" w:hAnsi="Arial"/>
          <w:sz w:val="24"/>
          <w:szCs w:val="24"/>
        </w:rPr>
        <w:t>le "peso" (β1) es igual a cero.</w:t>
      </w:r>
    </w:p>
    <w:p>
      <w:pPr>
        <w:pStyle w:val="style0"/>
        <w:jc w:val="both"/>
        <w:rPr>
          <w:rFonts w:ascii="Arial" w:cs="Arial" w:hAnsi="Arial"/>
          <w:sz w:val="24"/>
          <w:szCs w:val="24"/>
        </w:rPr>
      </w:pPr>
      <w:r>
        <w:rPr>
          <w:rFonts w:ascii="Arial" w:cs="Arial" w:hAnsi="Arial"/>
          <w:sz w:val="24"/>
          <w:szCs w:val="24"/>
        </w:rPr>
        <w:t>Esto significa que la variable "peso" no tiene un efecto significativo sobre el "valor FOB" y que cualquier variación en el valor FOB no se debe a cambios en el peso.</w:t>
      </w:r>
    </w:p>
    <w:p>
      <w:pPr>
        <w:pStyle w:val="style0"/>
        <w:jc w:val="both"/>
        <w:rPr>
          <w:rFonts w:ascii="Arial" w:cs="Arial" w:hAnsi="Arial"/>
          <w:sz w:val="24"/>
          <w:szCs w:val="24"/>
        </w:rPr>
      </w:pPr>
    </w:p>
    <w:p>
      <w:pPr>
        <w:pStyle w:val="style0"/>
        <w:jc w:val="both"/>
        <w:rPr>
          <w:rFonts w:ascii="Arial" w:cs="Arial" w:hAnsi="Arial"/>
          <w:sz w:val="24"/>
          <w:szCs w:val="24"/>
        </w:rPr>
      </w:pPr>
      <w:r>
        <w:rPr>
          <w:rFonts w:ascii="Arial" w:cs="Arial" w:hAnsi="Arial"/>
          <w:sz w:val="24"/>
          <w:szCs w:val="24"/>
        </w:rPr>
        <w:t>Hipótesis alternativa (H1</w:t>
      </w:r>
      <w:r>
        <w:rPr>
          <w:rFonts w:ascii="Arial" w:cs="Arial" w:hAnsi="Arial"/>
          <w:sz w:val="24"/>
          <w:szCs w:val="24"/>
        </w:rPr>
        <w:t>):</w:t>
      </w:r>
    </w:p>
    <w:p>
      <w:pPr>
        <w:pStyle w:val="style0"/>
        <w:jc w:val="both"/>
        <w:rPr>
          <w:rFonts w:ascii="Arial" w:cs="Arial" w:hAnsi="Arial"/>
          <w:sz w:val="24"/>
          <w:szCs w:val="24"/>
        </w:rPr>
      </w:pPr>
      <w:r>
        <w:rPr>
          <w:rFonts w:ascii="Arial" w:cs="Arial" w:hAnsi="Arial"/>
          <w:sz w:val="24"/>
          <w:szCs w:val="24"/>
        </w:rPr>
        <w:t>Existe una relación significativa entre el peso y el valor FOB. En términos de coeficientes de r</w:t>
      </w:r>
      <w:r>
        <w:rPr>
          <w:rFonts w:ascii="Arial" w:cs="Arial" w:hAnsi="Arial"/>
          <w:sz w:val="24"/>
          <w:szCs w:val="24"/>
        </w:rPr>
        <w:t>egresión, esto se expresa como:</w:t>
      </w:r>
    </w:p>
    <w:p>
      <w:pPr>
        <w:pStyle w:val="style0"/>
        <w:jc w:val="both"/>
        <w:rPr>
          <w:rFonts w:ascii="Arial" w:cs="Arial" w:hAnsi="Arial"/>
          <w:sz w:val="24"/>
          <w:szCs w:val="24"/>
        </w:rPr>
      </w:pPr>
      <w:r>
        <w:rPr>
          <w:rFonts w:ascii="Arial" w:cs="Arial" w:hAnsi="Arial"/>
          <w:sz w:val="24"/>
          <w:szCs w:val="24"/>
        </w:rPr>
        <w:t>Ha: El coeficiente de la variable "p</w:t>
      </w:r>
      <w:r>
        <w:rPr>
          <w:rFonts w:ascii="Arial" w:cs="Arial" w:hAnsi="Arial"/>
          <w:sz w:val="24"/>
          <w:szCs w:val="24"/>
        </w:rPr>
        <w:t>eso" (β1) es diferente de cero.</w:t>
      </w:r>
    </w:p>
    <w:p>
      <w:pPr>
        <w:pStyle w:val="style0"/>
        <w:jc w:val="both"/>
        <w:rPr>
          <w:rFonts w:ascii="Arial" w:cs="Arial" w:hAnsi="Arial"/>
          <w:sz w:val="24"/>
          <w:szCs w:val="24"/>
        </w:rPr>
      </w:pPr>
      <w:r>
        <w:rPr>
          <w:rFonts w:ascii="Arial" w:cs="Arial" w:hAnsi="Arial"/>
          <w:sz w:val="24"/>
          <w:szCs w:val="24"/>
        </w:rPr>
        <w:t>Esto sugiere que el peso sí tiene un efecto significativo sobre el "valor FOB" y que cambios en el peso están relacionados con variaciones en el valor FOB.</w:t>
      </w:r>
    </w:p>
    <w:p>
      <w:pPr>
        <w:pStyle w:val="style0"/>
        <w:ind w:left="360"/>
        <w:jc w:val="both"/>
        <w:rPr>
          <w:rFonts w:ascii="Arial" w:cs="Arial" w:hAnsi="Arial"/>
          <w:sz w:val="24"/>
          <w:szCs w:val="24"/>
        </w:rPr>
      </w:pPr>
      <w:r>
        <w:rPr>
          <w:rFonts w:ascii="Arial" w:cs="Arial" w:hAnsi="Arial"/>
          <w:sz w:val="24"/>
          <w:szCs w:val="24"/>
        </w:rPr>
        <w:t>Realizamos la prueba de F para comprobar la hipótesis nula</w:t>
      </w:r>
    </w:p>
    <w:p>
      <w:pPr>
        <w:pStyle w:val="style0"/>
        <w:ind w:left="360"/>
        <w:jc w:val="center"/>
        <w:rPr>
          <w:rFonts w:ascii="Arial" w:cs="Arial" w:hAnsi="Arial"/>
          <w:sz w:val="24"/>
          <w:szCs w:val="24"/>
        </w:rPr>
      </w:pPr>
      <w:r>
        <w:rPr>
          <w:rFonts w:ascii="Arial" w:cs="Arial" w:hAnsi="Arial"/>
          <w:sz w:val="24"/>
          <w:szCs w:val="24"/>
        </w:rPr>
        <w:drawing>
          <wp:inline distL="0" distT="0" distB="0" distR="0">
            <wp:extent cx="5612130" cy="553720"/>
            <wp:effectExtent l="0" t="0" r="7620" b="0"/>
            <wp:docPr id="1141" name="Imagen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Imagen 1"/>
                    <pic:cNvPicPr/>
                  </pic:nvPicPr>
                  <pic:blipFill>
                    <a:blip r:embed="rId84" cstate="print"/>
                    <a:srcRect l="0" t="0" r="0" b="0"/>
                    <a:stretch/>
                  </pic:blipFill>
                  <pic:spPr>
                    <a:xfrm rot="0">
                      <a:off x="0" y="0"/>
                      <a:ext cx="5612130" cy="553720"/>
                    </a:xfrm>
                    <a:prstGeom prst="rect"/>
                  </pic:spPr>
                </pic:pic>
              </a:graphicData>
            </a:graphic>
          </wp:inline>
        </w:drawing>
      </w:r>
    </w:p>
    <w:p>
      <w:pPr>
        <w:pStyle w:val="style0"/>
        <w:jc w:val="both"/>
        <w:rPr>
          <w:rFonts w:ascii="Arial" w:cs="Arial" w:hAnsi="Arial"/>
          <w:sz w:val="24"/>
          <w:szCs w:val="24"/>
        </w:rPr>
      </w:pPr>
      <w:r>
        <w:rPr>
          <w:rFonts w:ascii="Arial" w:cs="Arial" w:hAnsi="Arial"/>
          <w:sz w:val="24"/>
          <w:szCs w:val="24"/>
        </w:rPr>
        <w:t>.</w:t>
      </w:r>
    </w:p>
    <w:p>
      <w:pPr>
        <w:pStyle w:val="style0"/>
        <w:ind w:left="360"/>
        <w:jc w:val="both"/>
        <w:rPr>
          <w:rFonts w:ascii="Arial" w:cs="Arial" w:hAnsi="Arial"/>
          <w:sz w:val="24"/>
          <w:szCs w:val="24"/>
        </w:rPr>
      </w:pPr>
    </w:p>
    <w:p>
      <w:pPr>
        <w:pStyle w:val="style179"/>
        <w:ind w:left="0"/>
        <w:jc w:val="both"/>
        <w:rPr>
          <w:rFonts w:ascii="Arial" w:cs="Arial" w:hAnsi="Arial"/>
          <w:sz w:val="24"/>
          <w:szCs w:val="24"/>
        </w:rPr>
      </w:pPr>
    </w:p>
    <w:p>
      <w:pPr>
        <w:pStyle w:val="style179"/>
        <w:ind w:left="0"/>
        <w:jc w:val="both"/>
        <w:rPr>
          <w:rFonts w:ascii="Arial" w:cs="Arial" w:hAnsi="Arial"/>
          <w:sz w:val="24"/>
          <w:szCs w:val="24"/>
        </w:rPr>
      </w:pPr>
    </w:p>
    <w:p>
      <w:pPr>
        <w:pStyle w:val="style179"/>
        <w:ind w:left="0"/>
        <w:jc w:val="both"/>
        <w:rPr>
          <w:rFonts w:ascii="Arial" w:cs="Arial" w:hAnsi="Arial"/>
          <w:sz w:val="24"/>
          <w:szCs w:val="24"/>
        </w:rPr>
      </w:pPr>
    </w:p>
    <w:p>
      <w:pPr>
        <w:pStyle w:val="style179"/>
        <w:ind w:left="0"/>
        <w:jc w:val="both"/>
        <w:rPr>
          <w:rFonts w:ascii="Arial" w:cs="Arial" w:hAnsi="Arial"/>
          <w:b/>
          <w:bCs/>
          <w:sz w:val="24"/>
          <w:szCs w:val="24"/>
        </w:rPr>
      </w:pPr>
      <w:r>
        <w:rPr>
          <w:rFonts w:ascii="Arial" w:cs="Arial" w:hAnsi="Arial"/>
          <w:b/>
          <w:bCs/>
          <w:sz w:val="24"/>
          <w:szCs w:val="24"/>
          <w:lang w:val="en-US"/>
        </w:rPr>
        <w:t>CONCLUSI</w:t>
      </w:r>
      <w:r>
        <w:rPr>
          <w:rFonts w:ascii="Arial" w:cs="Arial" w:hAnsi="Arial"/>
          <w:b/>
          <w:bCs/>
          <w:sz w:val="24"/>
          <w:szCs w:val="24"/>
          <w:lang w:val="es-US"/>
        </w:rPr>
        <w:t>Ó</w:t>
      </w:r>
      <w:r>
        <w:rPr>
          <w:rFonts w:ascii="Arial" w:cs="Arial" w:hAnsi="Arial"/>
          <w:b/>
          <w:bCs/>
          <w:sz w:val="24"/>
          <w:szCs w:val="24"/>
          <w:lang w:val="en-US"/>
        </w:rPr>
        <w:t>N</w:t>
      </w:r>
    </w:p>
    <w:p>
      <w:pPr>
        <w:pStyle w:val="style179"/>
        <w:ind w:left="0"/>
        <w:jc w:val="both"/>
        <w:rPr>
          <w:rFonts w:ascii="Arial" w:cs="Arial" w:hAnsi="Arial"/>
          <w:sz w:val="24"/>
          <w:szCs w:val="24"/>
        </w:rPr>
      </w:pPr>
    </w:p>
    <w:p>
      <w:pPr>
        <w:pStyle w:val="style0"/>
        <w:rPr>
          <w:b/>
          <w:bCs/>
          <w:sz w:val="24"/>
          <w:szCs w:val="24"/>
          <w:lang w:val="es-ES"/>
        </w:rPr>
      </w:pPr>
      <w:r>
        <w:rPr>
          <w:b/>
          <w:bCs/>
          <w:sz w:val="24"/>
          <w:szCs w:val="24"/>
          <w:lang w:val="en-US"/>
        </w:rPr>
        <w:t>Al finalizar este proyecto de base de datos pude comprender como funciona el tranajo de un analista de data a nivel superficial , tambi</w:t>
      </w:r>
      <w:r>
        <w:rPr>
          <w:b/>
          <w:bCs/>
          <w:sz w:val="24"/>
          <w:szCs w:val="24"/>
          <w:lang w:val="es-US"/>
        </w:rPr>
        <w:t>é</w:t>
      </w:r>
      <w:r>
        <w:rPr>
          <w:b/>
          <w:bCs/>
          <w:sz w:val="24"/>
          <w:szCs w:val="24"/>
          <w:lang w:val="en-US"/>
        </w:rPr>
        <w:t>n logre mejorar mis hanilidades analiticas y entender como ciertos datos pueden reflejar los problemas que tiene el pa</w:t>
      </w:r>
      <w:r>
        <w:rPr>
          <w:b/>
          <w:bCs/>
          <w:sz w:val="24"/>
          <w:szCs w:val="24"/>
          <w:lang w:val="es-US"/>
        </w:rPr>
        <w:t>í</w:t>
      </w:r>
      <w:r>
        <w:rPr>
          <w:b/>
          <w:bCs/>
          <w:sz w:val="24"/>
          <w:szCs w:val="24"/>
          <w:lang w:val="en-US"/>
        </w:rPr>
        <w:t>s y que areas son necesarias mejorar.</w:t>
      </w: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p>
    <w:p>
      <w:pPr>
        <w:pStyle w:val="style0"/>
        <w:rPr>
          <w:b/>
          <w:bCs/>
          <w:sz w:val="24"/>
          <w:szCs w:val="24"/>
          <w:lang w:val="es-ES"/>
        </w:rPr>
      </w:pPr>
      <w:r>
        <w:rPr>
          <w:b/>
          <w:bCs/>
          <w:sz w:val="24"/>
          <w:szCs w:val="24"/>
          <w:lang w:val="en-US"/>
        </w:rPr>
        <w:t>EXTRA</w:t>
      </w:r>
    </w:p>
    <w:p>
      <w:pPr>
        <w:pStyle w:val="style0"/>
        <w:rPr>
          <w:b/>
          <w:bCs/>
          <w:sz w:val="24"/>
          <w:szCs w:val="24"/>
          <w:lang w:val="es-ES"/>
        </w:rPr>
      </w:pPr>
      <w:r>
        <w:rPr>
          <w:b/>
          <w:bCs/>
          <w:sz w:val="24"/>
          <w:szCs w:val="24"/>
          <w:lang w:val="en-US"/>
        </w:rPr>
        <w:t>AL SER ESTA BASE DE DATOS MUY GRANDE PARA EL GITHUB SE TUVO QUE GUARDAR EN UN LUGAR EXTERNO</w:t>
      </w:r>
    </w:p>
    <w:p>
      <w:pPr>
        <w:pStyle w:val="style0"/>
        <w:rPr>
          <w:b/>
          <w:bCs/>
          <w:sz w:val="24"/>
          <w:szCs w:val="24"/>
          <w:lang w:val="es-ES"/>
        </w:rPr>
      </w:pPr>
      <w:r>
        <w:rPr>
          <w:b/>
          <w:bCs/>
          <w:sz w:val="24"/>
          <w:szCs w:val="24"/>
          <w:lang w:val="en-US"/>
        </w:rPr>
        <w:t>https://docs.google.com/spreadsheets/d/1doWuxXfN9qD0P9iyhhy6eBBClCr0DIYL/edit?usp=drivesdk&amp;ouid=101498021836775487829&amp;rtpof=true&amp;sd=true</w:t>
      </w:r>
    </w:p>
    <w:p>
      <w:pPr>
        <w:pStyle w:val="style0"/>
        <w:rPr>
          <w:b/>
          <w:bCs/>
          <w:sz w:val="24"/>
          <w:szCs w:val="24"/>
          <w:lang w:val="es-ES"/>
        </w:rPr>
      </w:pP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center"/>
        <w:rPr>
          <w:rFonts w:ascii="Arial" w:cs="Arial" w:hAnsi="Arial"/>
          <w:sz w:val="24"/>
          <w:szCs w:val="24"/>
        </w:rPr>
      </w:pPr>
    </w:p>
    <w:p>
      <w:pPr>
        <w:pStyle w:val="style179"/>
        <w:rPr>
          <w:b/>
          <w:bCs/>
          <w:sz w:val="24"/>
          <w:szCs w:val="24"/>
          <w:lang w:val="es-ES"/>
        </w:rPr>
      </w:pPr>
    </w:p>
    <w:p>
      <w:pPr>
        <w:pStyle w:val="style179"/>
        <w:rPr>
          <w:b/>
          <w:bCs/>
          <w:sz w:val="24"/>
          <w:szCs w:val="24"/>
          <w:lang w:val="es-ES"/>
        </w:rPr>
      </w:pPr>
    </w:p>
    <w:p>
      <w:pPr>
        <w:pStyle w:val="style0"/>
        <w:rPr>
          <w:b/>
          <w:bCs/>
          <w:sz w:val="24"/>
          <w:szCs w:val="24"/>
          <w:lang w:val="es-ES"/>
        </w:rPr>
      </w:pPr>
    </w:p>
    <w:p>
      <w:pPr>
        <w:pStyle w:val="style0"/>
        <w:rPr>
          <w:b/>
          <w:bCs/>
          <w:sz w:val="24"/>
          <w:szCs w:val="24"/>
          <w:lang w:val="es-ES"/>
        </w:rPr>
      </w:pPr>
    </w:p>
    <w:sectPr>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mbria Math">
    <w:altName w:val="Cambria Math"/>
    <w:panose1 w:val="02040503050004030204"/>
    <w:charset w:val="00"/>
    <w:family w:val="roman"/>
    <w:pitch w:val="variable"/>
    <w:sig w:usb0="E00006FF" w:usb1="420024FF" w:usb2="02000000" w:usb3="00000000" w:csb0="0000019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E3C73C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cs="Courier New" w:hAnsi="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cs="Courier New" w:hAnsi="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cs="Courier New" w:hAnsi="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1A8E07B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cs="Courier New" w:hAnsi="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cs="Courier New" w:hAnsi="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cs="Courier New" w:hAnsi="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99BA0A54"/>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
    <w:nsid w:val="00000003"/>
    <w:multiLevelType w:val="hybridMultilevel"/>
    <w:tmpl w:val="1742A29A"/>
    <w:lvl w:ilvl="0" w:tplc="4F587BB2">
      <w:start w:val="1"/>
      <w:numFmt w:val="decimal"/>
      <w:lvlText w:val="%1."/>
      <w:lvlJc w:val="left"/>
      <w:pPr>
        <w:ind w:left="1068" w:hanging="360"/>
      </w:pPr>
      <w:rPr>
        <w:rFonts w:hint="default"/>
      </w:rPr>
    </w:lvl>
    <w:lvl w:ilvl="1" w:tplc="180A0019">
      <w:start w:val="1"/>
      <w:numFmt w:val="lowerLetter"/>
      <w:lvlText w:val="%2."/>
      <w:lvlJc w:val="left"/>
      <w:pPr>
        <w:ind w:left="1788" w:hanging="360"/>
      </w:pPr>
    </w:lvl>
    <w:lvl w:ilvl="2" w:tplc="180A001B" w:tentative="1">
      <w:start w:val="1"/>
      <w:numFmt w:val="lowerRoman"/>
      <w:lvlText w:val="%3."/>
      <w:lvlJc w:val="right"/>
      <w:pPr>
        <w:ind w:left="2508" w:hanging="180"/>
      </w:pPr>
    </w:lvl>
    <w:lvl w:ilvl="3" w:tplc="180A000F" w:tentative="1">
      <w:start w:val="1"/>
      <w:numFmt w:val="decimal"/>
      <w:lvlText w:val="%4."/>
      <w:lvlJc w:val="left"/>
      <w:pPr>
        <w:ind w:left="3228" w:hanging="360"/>
      </w:pPr>
    </w:lvl>
    <w:lvl w:ilvl="4" w:tplc="180A0019" w:tentative="1">
      <w:start w:val="1"/>
      <w:numFmt w:val="lowerLetter"/>
      <w:lvlText w:val="%5."/>
      <w:lvlJc w:val="left"/>
      <w:pPr>
        <w:ind w:left="3948" w:hanging="360"/>
      </w:pPr>
    </w:lvl>
    <w:lvl w:ilvl="5" w:tplc="180A001B" w:tentative="1">
      <w:start w:val="1"/>
      <w:numFmt w:val="lowerRoman"/>
      <w:lvlText w:val="%6."/>
      <w:lvlJc w:val="right"/>
      <w:pPr>
        <w:ind w:left="4668" w:hanging="180"/>
      </w:pPr>
    </w:lvl>
    <w:lvl w:ilvl="6" w:tplc="180A000F" w:tentative="1">
      <w:start w:val="1"/>
      <w:numFmt w:val="decimal"/>
      <w:lvlText w:val="%7."/>
      <w:lvlJc w:val="left"/>
      <w:pPr>
        <w:ind w:left="5388" w:hanging="360"/>
      </w:pPr>
    </w:lvl>
    <w:lvl w:ilvl="7" w:tplc="180A0019" w:tentative="1">
      <w:start w:val="1"/>
      <w:numFmt w:val="lowerLetter"/>
      <w:lvlText w:val="%8."/>
      <w:lvlJc w:val="left"/>
      <w:pPr>
        <w:ind w:left="6108" w:hanging="360"/>
      </w:pPr>
    </w:lvl>
    <w:lvl w:ilvl="8" w:tplc="180A001B" w:tentative="1">
      <w:start w:val="1"/>
      <w:numFmt w:val="lowerRoman"/>
      <w:lvlText w:val="%9."/>
      <w:lvlJc w:val="right"/>
      <w:pPr>
        <w:ind w:left="6828" w:hanging="180"/>
      </w:pPr>
    </w:lvl>
  </w:abstractNum>
  <w:abstractNum w:abstractNumId="4">
    <w:nsid w:val="00000004"/>
    <w:multiLevelType w:val="hybridMultilevel"/>
    <w:tmpl w:val="B0846880"/>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5">
    <w:nsid w:val="00000005"/>
    <w:multiLevelType w:val="hybridMultilevel"/>
    <w:tmpl w:val="6D168434"/>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6">
    <w:nsid w:val="00000006"/>
    <w:multiLevelType w:val="hybridMultilevel"/>
    <w:tmpl w:val="5BFAFF00"/>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7">
    <w:nsid w:val="00000007"/>
    <w:multiLevelType w:val="hybridMultilevel"/>
    <w:tmpl w:val="7FC2CD6C"/>
    <w:lvl w:ilvl="0" w:tplc="7DD4BB3A">
      <w:start w:val="1"/>
      <w:numFmt w:val="decimal"/>
      <w:lvlText w:val="%1."/>
      <w:lvlJc w:val="left"/>
      <w:pPr>
        <w:ind w:left="72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8">
    <w:nsid w:val="00000008"/>
    <w:multiLevelType w:val="hybridMultilevel"/>
    <w:tmpl w:val="6F685454"/>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9">
    <w:nsid w:val="00000009"/>
    <w:multiLevelType w:val="hybridMultilevel"/>
    <w:tmpl w:val="3AC60C1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cs="Courier New" w:hAnsi="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cs="Courier New" w:hAnsi="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cs="Courier New" w:hAnsi="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81DC6996"/>
    <w:lvl w:ilvl="0" w:tplc="180A000F">
      <w:start w:val="1"/>
      <w:numFmt w:val="decimal"/>
      <w:lvlText w:val="%1."/>
      <w:lvlJc w:val="left"/>
      <w:pPr>
        <w:ind w:left="1428" w:hanging="360"/>
      </w:pPr>
    </w:lvl>
    <w:lvl w:ilvl="1" w:tplc="180A0019" w:tentative="1">
      <w:start w:val="1"/>
      <w:numFmt w:val="lowerLetter"/>
      <w:lvlText w:val="%2."/>
      <w:lvlJc w:val="left"/>
      <w:pPr>
        <w:ind w:left="2148" w:hanging="360"/>
      </w:pPr>
    </w:lvl>
    <w:lvl w:ilvl="2" w:tplc="180A001B" w:tentative="1">
      <w:start w:val="1"/>
      <w:numFmt w:val="lowerRoman"/>
      <w:lvlText w:val="%3."/>
      <w:lvlJc w:val="right"/>
      <w:pPr>
        <w:ind w:left="2868" w:hanging="180"/>
      </w:pPr>
    </w:lvl>
    <w:lvl w:ilvl="3" w:tplc="180A000F" w:tentative="1">
      <w:start w:val="1"/>
      <w:numFmt w:val="decimal"/>
      <w:lvlText w:val="%4."/>
      <w:lvlJc w:val="left"/>
      <w:pPr>
        <w:ind w:left="3588" w:hanging="360"/>
      </w:pPr>
    </w:lvl>
    <w:lvl w:ilvl="4" w:tplc="180A0019" w:tentative="1">
      <w:start w:val="1"/>
      <w:numFmt w:val="lowerLetter"/>
      <w:lvlText w:val="%5."/>
      <w:lvlJc w:val="left"/>
      <w:pPr>
        <w:ind w:left="4308" w:hanging="360"/>
      </w:pPr>
    </w:lvl>
    <w:lvl w:ilvl="5" w:tplc="180A001B" w:tentative="1">
      <w:start w:val="1"/>
      <w:numFmt w:val="lowerRoman"/>
      <w:lvlText w:val="%6."/>
      <w:lvlJc w:val="right"/>
      <w:pPr>
        <w:ind w:left="5028" w:hanging="180"/>
      </w:pPr>
    </w:lvl>
    <w:lvl w:ilvl="6" w:tplc="180A000F" w:tentative="1">
      <w:start w:val="1"/>
      <w:numFmt w:val="decimal"/>
      <w:lvlText w:val="%7."/>
      <w:lvlJc w:val="left"/>
      <w:pPr>
        <w:ind w:left="5748" w:hanging="360"/>
      </w:pPr>
    </w:lvl>
    <w:lvl w:ilvl="7" w:tplc="180A0019" w:tentative="1">
      <w:start w:val="1"/>
      <w:numFmt w:val="lowerLetter"/>
      <w:lvlText w:val="%8."/>
      <w:lvlJc w:val="left"/>
      <w:pPr>
        <w:ind w:left="6468" w:hanging="360"/>
      </w:pPr>
    </w:lvl>
    <w:lvl w:ilvl="8" w:tplc="180A001B" w:tentative="1">
      <w:start w:val="1"/>
      <w:numFmt w:val="lowerRoman"/>
      <w:lvlText w:val="%9."/>
      <w:lvlJc w:val="right"/>
      <w:pPr>
        <w:ind w:left="7188" w:hanging="180"/>
      </w:pPr>
    </w:lvl>
  </w:abstractNum>
  <w:abstractNum w:abstractNumId="11">
    <w:nsid w:val="0000000B"/>
    <w:multiLevelType w:val="hybridMultilevel"/>
    <w:tmpl w:val="BAB070F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cs="Courier New" w:hAnsi="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cs="Courier New" w:hAnsi="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cs="Courier New" w:hAnsi="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8B5E1C9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cs="Courier New" w:hAnsi="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cs="Courier New" w:hAnsi="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cs="Courier New" w:hAnsi="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B0846880"/>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4">
    <w:nsid w:val="0000000E"/>
    <w:multiLevelType w:val="hybridMultilevel"/>
    <w:tmpl w:val="DEB8E09C"/>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5">
    <w:nsid w:val="0000000F"/>
    <w:multiLevelType w:val="hybridMultilevel"/>
    <w:tmpl w:val="445613BE"/>
    <w:lvl w:ilvl="0" w:tplc="180A000F">
      <w:start w:val="1"/>
      <w:numFmt w:val="decimal"/>
      <w:lvlText w:val="%1."/>
      <w:lvlJc w:val="left"/>
      <w:pPr>
        <w:ind w:left="1080" w:hanging="360"/>
      </w:p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16">
    <w:nsid w:val="00000010"/>
    <w:multiLevelType w:val="hybridMultilevel"/>
    <w:tmpl w:val="BEAE899C"/>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7">
    <w:nsid w:val="00000011"/>
    <w:multiLevelType w:val="hybridMultilevel"/>
    <w:tmpl w:val="66A8C2B4"/>
    <w:lvl w:ilvl="0" w:tplc="180A0001">
      <w:start w:val="1"/>
      <w:numFmt w:val="bullet"/>
      <w:lvlText w:val=""/>
      <w:lvlJc w:val="left"/>
      <w:pPr>
        <w:ind w:left="1440" w:hanging="360"/>
      </w:pPr>
      <w:rPr>
        <w:rFonts w:ascii="Symbol" w:hAnsi="Symbol" w:hint="default"/>
      </w:rPr>
    </w:lvl>
    <w:lvl w:ilvl="1" w:tplc="180A0003" w:tentative="1">
      <w:start w:val="1"/>
      <w:numFmt w:val="bullet"/>
      <w:lvlText w:val="o"/>
      <w:lvlJc w:val="left"/>
      <w:pPr>
        <w:ind w:left="2160" w:hanging="360"/>
      </w:pPr>
      <w:rPr>
        <w:rFonts w:ascii="Courier New" w:cs="Courier New" w:hAnsi="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cs="Courier New" w:hAnsi="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cs="Courier New" w:hAnsi="Courier New" w:hint="default"/>
      </w:rPr>
    </w:lvl>
    <w:lvl w:ilvl="8" w:tplc="180A0005" w:tentative="1">
      <w:start w:val="1"/>
      <w:numFmt w:val="bullet"/>
      <w:lvlText w:val=""/>
      <w:lvlJc w:val="left"/>
      <w:pPr>
        <w:ind w:left="7200" w:hanging="360"/>
      </w:pPr>
      <w:rPr>
        <w:rFonts w:ascii="Wingdings" w:hAnsi="Wingdings" w:hint="default"/>
      </w:rPr>
    </w:lvl>
  </w:abstractNum>
  <w:num w:numId="1">
    <w:abstractNumId w:val="12"/>
  </w:num>
  <w:num w:numId="2">
    <w:abstractNumId w:val="0"/>
  </w:num>
  <w:num w:numId="3">
    <w:abstractNumId w:val="2"/>
  </w:num>
  <w:num w:numId="4">
    <w:abstractNumId w:val="15"/>
  </w:num>
  <w:num w:numId="5">
    <w:abstractNumId w:val="11"/>
  </w:num>
  <w:num w:numId="6">
    <w:abstractNumId w:val="5"/>
  </w:num>
  <w:num w:numId="7">
    <w:abstractNumId w:val="1"/>
  </w:num>
  <w:num w:numId="8">
    <w:abstractNumId w:val="16"/>
  </w:num>
  <w:num w:numId="9">
    <w:abstractNumId w:val="8"/>
  </w:num>
  <w:num w:numId="10">
    <w:abstractNumId w:val="14"/>
  </w:num>
  <w:num w:numId="11">
    <w:abstractNumId w:val="17"/>
  </w:num>
  <w:num w:numId="12">
    <w:abstractNumId w:val="4"/>
  </w:num>
  <w:num w:numId="13">
    <w:abstractNumId w:val="3"/>
  </w:num>
  <w:num w:numId="14">
    <w:abstractNumId w:val="7"/>
  </w:num>
  <w:num w:numId="15">
    <w:abstractNumId w:val="10"/>
  </w:num>
  <w:num w:numId="16">
    <w:abstractNumId w:val="6"/>
  </w:num>
  <w:num w:numId="17">
    <w:abstractNumId w:val="9"/>
  </w:num>
  <w:num w:numId="18">
    <w:abstractNumId w:val="1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s-PA"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s>
</file>

<file path=word/_rels/document.xml.rels><?xml version="1.0" encoding="UTF-8"?>
<Relationships xmlns="http://schemas.openxmlformats.org/package/2006/relationships"><Relationship Id="rId40" Type="http://schemas.openxmlformats.org/officeDocument/2006/relationships/image" Target="media/image10.png"/><Relationship Id="rId84" Type="http://schemas.openxmlformats.org/officeDocument/2006/relationships/image" Target="media/image28.png"/><Relationship Id="rId83" Type="http://schemas.openxmlformats.org/officeDocument/2006/relationships/image" Target="media/image27.png"/><Relationship Id="rId42" Type="http://schemas.openxmlformats.org/officeDocument/2006/relationships/image" Target="media/image11.png"/><Relationship Id="rId86" Type="http://schemas.openxmlformats.org/officeDocument/2006/relationships/fontTable" Target="fontTable.xml"/><Relationship Id="rId41" Type="http://schemas.openxmlformats.org/officeDocument/2006/relationships/oleObject" Target="embeddings/oleObject4.bin"/><Relationship Id="rId85" Type="http://schemas.openxmlformats.org/officeDocument/2006/relationships/styles" Target="styles.xml"/><Relationship Id="rId44" Type="http://schemas.openxmlformats.org/officeDocument/2006/relationships/chart" Target="charts/chart27.xml"/><Relationship Id="rId88" Type="http://schemas.openxmlformats.org/officeDocument/2006/relationships/theme" Target="theme/theme1.xml"/><Relationship Id="rId43" Type="http://schemas.openxmlformats.org/officeDocument/2006/relationships/image" Target="media/image12.png"/><Relationship Id="rId87" Type="http://schemas.openxmlformats.org/officeDocument/2006/relationships/settings" Target="settings.xml"/><Relationship Id="rId46" Type="http://schemas.openxmlformats.org/officeDocument/2006/relationships/image" Target="media/image13.png"/><Relationship Id="rId45" Type="http://schemas.openxmlformats.org/officeDocument/2006/relationships/chart" Target="charts/chart28.xml"/><Relationship Id="rId80" Type="http://schemas.openxmlformats.org/officeDocument/2006/relationships/chart" Target="charts/chart44.xml"/><Relationship Id="rId82" Type="http://schemas.openxmlformats.org/officeDocument/2006/relationships/oleObject" Target="embeddings/oleObject11.bin"/><Relationship Id="rId81" Type="http://schemas.openxmlformats.org/officeDocument/2006/relationships/image" Target="media/image26.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hart" Target="charts/chart1.xml"/><Relationship Id="rId9" Type="http://schemas.openxmlformats.org/officeDocument/2006/relationships/chart" Target="charts/chart6.xml"/><Relationship Id="rId48" Type="http://schemas.openxmlformats.org/officeDocument/2006/relationships/image" Target="media/image14.png"/><Relationship Id="rId47" Type="http://schemas.openxmlformats.org/officeDocument/2006/relationships/oleObject" Target="embeddings/oleObject5.bin"/><Relationship Id="rId49" Type="http://schemas.openxmlformats.org/officeDocument/2006/relationships/chart" Target="charts/chart29.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chart" Target="charts/chart4.xml"/><Relationship Id="rId8" Type="http://schemas.openxmlformats.org/officeDocument/2006/relationships/chart" Target="charts/chart5.xml"/><Relationship Id="rId73" Type="http://schemas.openxmlformats.org/officeDocument/2006/relationships/chart" Target="charts/chart40.xml"/><Relationship Id="rId72" Type="http://schemas.openxmlformats.org/officeDocument/2006/relationships/oleObject" Target="embeddings/oleObject9.bin"/><Relationship Id="rId31" Type="http://schemas.openxmlformats.org/officeDocument/2006/relationships/image" Target="media/image7.png"/><Relationship Id="rId75" Type="http://schemas.openxmlformats.org/officeDocument/2006/relationships/chart" Target="charts/chart42.xml"/><Relationship Id="rId30" Type="http://schemas.openxmlformats.org/officeDocument/2006/relationships/image" Target="media/image6.png"/><Relationship Id="rId74" Type="http://schemas.openxmlformats.org/officeDocument/2006/relationships/chart" Target="charts/chart41.xml"/><Relationship Id="rId33" Type="http://schemas.openxmlformats.org/officeDocument/2006/relationships/chart" Target="charts/chart23.xml"/><Relationship Id="rId77" Type="http://schemas.openxmlformats.org/officeDocument/2006/relationships/image" Target="media/image24.png"/><Relationship Id="rId32" Type="http://schemas.openxmlformats.org/officeDocument/2006/relationships/chart" Target="charts/chart22.xml"/><Relationship Id="rId76" Type="http://schemas.openxmlformats.org/officeDocument/2006/relationships/chart" Target="charts/chart43.xml"/><Relationship Id="rId35" Type="http://schemas.openxmlformats.org/officeDocument/2006/relationships/chart" Target="charts/chart25.xml"/><Relationship Id="rId79" Type="http://schemas.openxmlformats.org/officeDocument/2006/relationships/image" Target="media/image25.png"/><Relationship Id="rId34" Type="http://schemas.openxmlformats.org/officeDocument/2006/relationships/chart" Target="charts/chart24.xml"/><Relationship Id="rId78" Type="http://schemas.openxmlformats.org/officeDocument/2006/relationships/oleObject" Target="embeddings/oleObject10.bin"/><Relationship Id="rId71" Type="http://schemas.openxmlformats.org/officeDocument/2006/relationships/image" Target="media/image23.png"/><Relationship Id="rId70" Type="http://schemas.openxmlformats.org/officeDocument/2006/relationships/chart" Target="charts/chart39.xml"/><Relationship Id="rId37" Type="http://schemas.openxmlformats.org/officeDocument/2006/relationships/oleObject" Target="embeddings/oleObject3.bin"/><Relationship Id="rId36" Type="http://schemas.openxmlformats.org/officeDocument/2006/relationships/image" Target="media/image8.png"/><Relationship Id="rId39" Type="http://schemas.openxmlformats.org/officeDocument/2006/relationships/chart" Target="charts/chart26.xml"/><Relationship Id="rId38" Type="http://schemas.openxmlformats.org/officeDocument/2006/relationships/image" Target="media/image9.png"/><Relationship Id="rId62" Type="http://schemas.openxmlformats.org/officeDocument/2006/relationships/chart" Target="charts/chart35.xml"/><Relationship Id="rId61" Type="http://schemas.openxmlformats.org/officeDocument/2006/relationships/image" Target="media/image19.png"/><Relationship Id="rId20" Type="http://schemas.openxmlformats.org/officeDocument/2006/relationships/chart" Target="charts/chart17.xml"/><Relationship Id="rId64" Type="http://schemas.openxmlformats.org/officeDocument/2006/relationships/oleObject" Target="embeddings/oleObject8.bin"/><Relationship Id="rId63" Type="http://schemas.openxmlformats.org/officeDocument/2006/relationships/image" Target="media/image20.png"/><Relationship Id="rId22" Type="http://schemas.openxmlformats.org/officeDocument/2006/relationships/chart" Target="charts/chart19.xml"/><Relationship Id="rId66" Type="http://schemas.openxmlformats.org/officeDocument/2006/relationships/image" Target="media/image22.png"/><Relationship Id="rId21" Type="http://schemas.openxmlformats.org/officeDocument/2006/relationships/chart" Target="charts/chart18.xml"/><Relationship Id="rId65" Type="http://schemas.openxmlformats.org/officeDocument/2006/relationships/image" Target="media/image21.png"/><Relationship Id="rId24" Type="http://schemas.openxmlformats.org/officeDocument/2006/relationships/image" Target="media/image3.png"/><Relationship Id="rId68" Type="http://schemas.openxmlformats.org/officeDocument/2006/relationships/chart" Target="charts/chart37.xml"/><Relationship Id="rId23" Type="http://schemas.openxmlformats.org/officeDocument/2006/relationships/chart" Target="charts/chart20.xml"/><Relationship Id="rId67" Type="http://schemas.openxmlformats.org/officeDocument/2006/relationships/chart" Target="charts/chart36.xml"/><Relationship Id="rId60" Type="http://schemas.openxmlformats.org/officeDocument/2006/relationships/oleObject" Target="embeddings/oleObject7.bin"/><Relationship Id="rId26" Type="http://schemas.openxmlformats.org/officeDocument/2006/relationships/image" Target="media/image4.png"/><Relationship Id="rId25" Type="http://schemas.openxmlformats.org/officeDocument/2006/relationships/oleObject" Target="embeddings/oleObject1.bin"/><Relationship Id="rId69" Type="http://schemas.openxmlformats.org/officeDocument/2006/relationships/chart" Target="charts/chart38.xml"/><Relationship Id="rId28" Type="http://schemas.openxmlformats.org/officeDocument/2006/relationships/image" Target="media/image5.png"/><Relationship Id="rId27" Type="http://schemas.openxmlformats.org/officeDocument/2006/relationships/chart" Target="charts/chart21.xml"/><Relationship Id="rId29" Type="http://schemas.openxmlformats.org/officeDocument/2006/relationships/oleObject" Target="embeddings/oleObject2.bin"/><Relationship Id="rId51" Type="http://schemas.openxmlformats.org/officeDocument/2006/relationships/oleObject" Target="embeddings/oleObject6.bin"/><Relationship Id="rId50" Type="http://schemas.openxmlformats.org/officeDocument/2006/relationships/image" Target="media/image15.png"/><Relationship Id="rId53" Type="http://schemas.openxmlformats.org/officeDocument/2006/relationships/image" Target="media/image17.png"/><Relationship Id="rId52" Type="http://schemas.openxmlformats.org/officeDocument/2006/relationships/image" Target="media/image16.png"/><Relationship Id="rId11" Type="http://schemas.openxmlformats.org/officeDocument/2006/relationships/chart" Target="charts/chart8.xml"/><Relationship Id="rId55" Type="http://schemas.openxmlformats.org/officeDocument/2006/relationships/chart" Target="charts/chart31.xml"/><Relationship Id="rId10" Type="http://schemas.openxmlformats.org/officeDocument/2006/relationships/chart" Target="charts/chart7.xml"/><Relationship Id="rId54" Type="http://schemas.openxmlformats.org/officeDocument/2006/relationships/chart" Target="charts/chart30.xml"/><Relationship Id="rId13" Type="http://schemas.openxmlformats.org/officeDocument/2006/relationships/chart" Target="charts/chart10.xml"/><Relationship Id="rId57" Type="http://schemas.openxmlformats.org/officeDocument/2006/relationships/chart" Target="charts/chart33.xml"/><Relationship Id="rId12" Type="http://schemas.openxmlformats.org/officeDocument/2006/relationships/chart" Target="charts/chart9.xml"/><Relationship Id="rId56" Type="http://schemas.openxmlformats.org/officeDocument/2006/relationships/chart" Target="charts/chart32.xml"/><Relationship Id="rId15" Type="http://schemas.openxmlformats.org/officeDocument/2006/relationships/chart" Target="charts/chart12.xml"/><Relationship Id="rId59" Type="http://schemas.openxmlformats.org/officeDocument/2006/relationships/image" Target="media/image18.png"/><Relationship Id="rId14" Type="http://schemas.openxmlformats.org/officeDocument/2006/relationships/chart" Target="charts/chart11.xml"/><Relationship Id="rId58" Type="http://schemas.openxmlformats.org/officeDocument/2006/relationships/chart" Target="charts/chart34.xml"/><Relationship Id="rId17" Type="http://schemas.openxmlformats.org/officeDocument/2006/relationships/chart" Target="charts/chart14.xml"/><Relationship Id="rId16" Type="http://schemas.openxmlformats.org/officeDocument/2006/relationships/chart" Target="charts/chart13.xml"/><Relationship Id="rId19" Type="http://schemas.openxmlformats.org/officeDocument/2006/relationships/chart" Target="charts/chart16.xml"/><Relationship Id="rId18" Type="http://schemas.openxmlformats.org/officeDocument/2006/relationships/chart" Target="charts/chart15.xml"/></Relationships>
</file>

<file path=word/charts/_rels/chart1.xml.rels><?xml version="1.0" encoding="UTF-8"?>
<Relationships xmlns="http://schemas.openxmlformats.org/package/2006/relationships"><Relationship Id="rId1" Type="http://schemas.openxmlformats.org/officeDocument/2006/relationships/oleObject" TargetMode="External" Target="file:/C:/Users/usuario/Downloads/PIB%20ANUAL%20POR%20CATEGORIAS%20EDITADO.xlsx"/><Relationship Id="rId2" Type="http://schemas.microsoft.com/office/2011/relationships/chartStyle" Target="style2.xml"/><Relationship Id="rId3" Type="http://schemas.microsoft.com/office/2011/relationships/chartColorStyle" Target="colors2.xml"/></Relationships>
</file>

<file path=word/charts/_rels/chart10.xml.rels><?xml version="1.0" encoding="UTF-8"?>
<Relationships xmlns="http://schemas.openxmlformats.org/package/2006/relationships"><Relationship Id="rId1" Type="http://schemas.openxmlformats.org/officeDocument/2006/relationships/oleObject" TargetMode="External" Target="file:/C:/Users/usuario/Downloads/Importaciones%20por%20Arancel%20-%20Maquillaje.xlsx"/><Relationship Id="rId2" Type="http://schemas.microsoft.com/office/2011/relationships/chartStyle" Target="style15.xml"/><Relationship Id="rId3" Type="http://schemas.microsoft.com/office/2011/relationships/chartColorStyle" Target="colors15.xml"/></Relationships>
</file>

<file path=word/charts/_rels/chart11.xml.rels><?xml version="1.0" encoding="UTF-8"?>
<Relationships xmlns="http://schemas.openxmlformats.org/package/2006/relationships"><Relationship Id="rId1" Type="http://schemas.openxmlformats.org/officeDocument/2006/relationships/oleObject" TargetMode="External" Target="file:/C:/Users/usuario/AppData/Roaming/Microsoft/Excel/Importaciones%20por%20Arancel%20-%20Maquillaje%20(version%202).xlsb"/><Relationship Id="rId2" Type="http://schemas.microsoft.com/office/2011/relationships/chartStyle" Target="style5.xml"/><Relationship Id="rId3" Type="http://schemas.microsoft.com/office/2011/relationships/chartColorStyle" Target="colors5.xml"/></Relationships>
</file>

<file path=word/charts/_rels/chart12.xml.rels><?xml version="1.0" encoding="UTF-8"?>
<Relationships xmlns="http://schemas.openxmlformats.org/package/2006/relationships"><Relationship Id="rId1" Type="http://schemas.openxmlformats.org/officeDocument/2006/relationships/oleObject" TargetMode="External" Target="file:/C:/Users/usuario/AppData/Roaming/Microsoft/Excel/Importaciones%20por%20Arancel%20-%20Chocolate%20(version%202).xlsb"/><Relationship Id="rId2" Type="http://schemas.microsoft.com/office/2011/relationships/chartStyle" Target="style33.xml"/><Relationship Id="rId3" Type="http://schemas.microsoft.com/office/2011/relationships/chartColorStyle" Target="colors33.xml"/></Relationships>
</file>

<file path=word/charts/_rels/chart13.xml.rels><?xml version="1.0" encoding="UTF-8"?>
<Relationships xmlns="http://schemas.openxmlformats.org/package/2006/relationships"><Relationship Id="rId1" Type="http://schemas.openxmlformats.org/officeDocument/2006/relationships/oleObject" TargetMode="External" Target="file:/C:/Users/usuario/AppData/Roaming/Microsoft/Excel/Importaciones%20por%20Arancel%20-%20Chocolate%20(version%202).xlsb"/><Relationship Id="rId2" Type="http://schemas.microsoft.com/office/2011/relationships/chartStyle" Target="style17.xml"/><Relationship Id="rId3" Type="http://schemas.microsoft.com/office/2011/relationships/chartColorStyle" Target="colors17.xml"/></Relationships>
</file>

<file path=word/charts/_rels/chart14.xml.rels><?xml version="1.0" encoding="UTF-8"?>
<Relationships xmlns="http://schemas.openxmlformats.org/package/2006/relationships"><Relationship Id="rId1" Type="http://schemas.openxmlformats.org/officeDocument/2006/relationships/oleObject" TargetMode="External" Target="file:/C:/Users/usuario/AppData/Roaming/Microsoft/Excel/Importaciones%20por%20Arancel%20-%20Chocolate%20(version%202).xlsb"/><Relationship Id="rId2" Type="http://schemas.microsoft.com/office/2011/relationships/chartStyle" Target="style41.xml"/><Relationship Id="rId3" Type="http://schemas.microsoft.com/office/2011/relationships/chartColorStyle" Target="colors41.xml"/></Relationships>
</file>

<file path=word/charts/_rels/chart15.xml.rels><?xml version="1.0" encoding="UTF-8"?>
<Relationships xmlns="http://schemas.openxmlformats.org/package/2006/relationships"><Relationship Id="rId1" Type="http://schemas.openxmlformats.org/officeDocument/2006/relationships/oleObject" TargetMode="External" Target="file:/C:/Users/usuario/AppData/Roaming/Microsoft/Excel/Importaciones%20por%20Arancel%20-%20Chocolate%20(version%202).xlsb"/><Relationship Id="rId2" Type="http://schemas.microsoft.com/office/2011/relationships/chartStyle" Target="style13.xml"/><Relationship Id="rId3" Type="http://schemas.microsoft.com/office/2011/relationships/chartColorStyle" Target="colors13.xml"/></Relationships>
</file>

<file path=word/charts/_rels/chart16.xml.rels><?xml version="1.0" encoding="UTF-8"?>
<Relationships xmlns="http://schemas.openxmlformats.org/package/2006/relationships"><Relationship Id="rId1" Type="http://schemas.openxmlformats.org/officeDocument/2006/relationships/oleObject" TargetMode="External" Target="file:/C:/Users/javie/Desktop/Japete%20no/uni/sem%205/E/Proyecto/Importaciones%20por%20Arancel%20-%20Chocolate%202.xlsx"/><Relationship Id="rId2" Type="http://schemas.microsoft.com/office/2011/relationships/chartStyle" Target="style24.xml"/><Relationship Id="rId3" Type="http://schemas.microsoft.com/office/2011/relationships/chartColorStyle" Target="colors24.xml"/></Relationships>
</file>

<file path=word/charts/_rels/chart17.xml.rels><?xml version="1.0" encoding="UTF-8"?>
<Relationships xmlns="http://schemas.openxmlformats.org/package/2006/relationships"><Relationship Id="rId1" Type="http://schemas.openxmlformats.org/officeDocument/2006/relationships/oleObject" TargetMode="External" Target="file:/C:/Users/usuario/AppData/Roaming/Microsoft/Excel/Importaciones%20por%20Arancel%20-%20Maquillaje%20(version%202).xlsb"/><Relationship Id="rId2" Type="http://schemas.microsoft.com/office/2011/relationships/chartStyle" Target="style8.xml"/><Relationship Id="rId3" Type="http://schemas.microsoft.com/office/2011/relationships/chartColorStyle" Target="colors8.xml"/></Relationships>
</file>

<file path=word/charts/_rels/chart18.xml.rels><?xml version="1.0" encoding="UTF-8"?>
<Relationships xmlns="http://schemas.openxmlformats.org/package/2006/relationships"><Relationship Id="rId1" Type="http://schemas.openxmlformats.org/officeDocument/2006/relationships/oleObject" TargetMode="External" Target="file:/C:/Users/usuario/Downloads/ExpoFrancasMuebles.xlsx"/><Relationship Id="rId2" Type="http://schemas.microsoft.com/office/2011/relationships/chartStyle" Target="style1.xml"/><Relationship Id="rId3" Type="http://schemas.microsoft.com/office/2011/relationships/chartColorStyle" Target="colors1.xml"/></Relationships>
</file>

<file path=word/charts/_rels/chart19.xml.rels><?xml version="1.0" encoding="UTF-8"?>
<Relationships xmlns="http://schemas.openxmlformats.org/package/2006/relationships"><Relationship Id="rId1" Type="http://schemas.openxmlformats.org/officeDocument/2006/relationships/oleObject" TargetMode="External" Target="file:/C:/Users/usuario/Downloads/ExpoFrancasMuebles.xlsx"/><Relationship Id="rId2" Type="http://schemas.microsoft.com/office/2011/relationships/chartStyle" Target="style29.xml"/><Relationship Id="rId3" Type="http://schemas.microsoft.com/office/2011/relationships/chartColorStyle" Target="colors29.xml"/></Relationships>
</file>

<file path=word/charts/_rels/chart2.xml.rels><?xml version="1.0" encoding="UTF-8"?>
<Relationships xmlns="http://schemas.openxmlformats.org/package/2006/relationships"><Relationship Id="rId1" Type="http://schemas.openxmlformats.org/officeDocument/2006/relationships/oleObject" TargetMode="External" Target="file:/C:/Users/usuario/Downloads/PIB%20ANUAL%20POR%20CATEGORIAS%20EDITADO.xlsx"/><Relationship Id="rId2" Type="http://schemas.microsoft.com/office/2011/relationships/chartStyle" Target="style44.xml"/><Relationship Id="rId3" Type="http://schemas.microsoft.com/office/2011/relationships/chartColorStyle" Target="colors44.xml"/></Relationships>
</file>

<file path=word/charts/_rels/chart20.xml.rels><?xml version="1.0" encoding="UTF-8"?>
<Relationships xmlns="http://schemas.openxmlformats.org/package/2006/relationships"><Relationship Id="rId1" Type="http://schemas.openxmlformats.org/officeDocument/2006/relationships/oleObject" TargetMode="External" Target="file:/C:/Users/usuario/Downloads/ExpoFrancasMuebles.xlsx"/><Relationship Id="rId2" Type="http://schemas.microsoft.com/office/2011/relationships/chartStyle" Target="style34.xml"/><Relationship Id="rId3" Type="http://schemas.microsoft.com/office/2011/relationships/chartColorStyle" Target="colors34.xml"/></Relationships>
</file>

<file path=word/charts/_rels/chart21.xml.rels><?xml version="1.0" encoding="UTF-8"?>
<Relationships xmlns="http://schemas.openxmlformats.org/package/2006/relationships"><Relationship Id="rId1" Type="http://schemas.openxmlformats.org/officeDocument/2006/relationships/oleObject" TargetMode="External" Target="file:/C:/Users/usuario/Downloads/ExpoFrancasMuebles.xlsx"/><Relationship Id="rId2" Type="http://schemas.microsoft.com/office/2011/relationships/chartStyle" Target="style11.xml"/><Relationship Id="rId3" Type="http://schemas.microsoft.com/office/2011/relationships/chartColorStyle" Target="colors11.xml"/></Relationships>
</file>

<file path=word/charts/_rels/chart22.xml.rels><?xml version="1.0" encoding="UTF-8"?>
<Relationships xmlns="http://schemas.openxmlformats.org/package/2006/relationships"><Relationship Id="rId1" Type="http://schemas.openxmlformats.org/officeDocument/2006/relationships/oleObject" TargetMode="External" Target="file:/C:/Users/usuario/Downloads/ExpoFrancasCables.xlsx"/><Relationship Id="rId2" Type="http://schemas.microsoft.com/office/2011/relationships/chartStyle" Target="style19.xml"/><Relationship Id="rId3" Type="http://schemas.microsoft.com/office/2011/relationships/chartColorStyle" Target="colors19.xml"/></Relationships>
</file>

<file path=word/charts/_rels/chart23.xml.rels><?xml version="1.0" encoding="UTF-8"?>
<Relationships xmlns="http://schemas.openxmlformats.org/package/2006/relationships"><Relationship Id="rId1" Type="http://schemas.openxmlformats.org/officeDocument/2006/relationships/oleObject" TargetMode="External" Target="file:/C:/Users/usuario/Downloads/ExpoFrancasCables.xlsx"/><Relationship Id="rId2" Type="http://schemas.microsoft.com/office/2011/relationships/chartStyle" Target="style42.xml"/><Relationship Id="rId3" Type="http://schemas.microsoft.com/office/2011/relationships/chartColorStyle" Target="colors42.xml"/></Relationships>
</file>

<file path=word/charts/_rels/chart24.xml.rels><?xml version="1.0" encoding="UTF-8"?>
<Relationships xmlns="http://schemas.openxmlformats.org/package/2006/relationships"><Relationship Id="rId1" Type="http://schemas.openxmlformats.org/officeDocument/2006/relationships/oleObject" TargetMode="External" Target="file:/C:/Users/usuario/Downloads/ExpoFrancasCables.xlsx"/><Relationship Id="rId2" Type="http://schemas.microsoft.com/office/2011/relationships/chartStyle" Target="style30.xml"/><Relationship Id="rId3" Type="http://schemas.microsoft.com/office/2011/relationships/chartColorStyle" Target="colors30.xml"/></Relationships>
</file>

<file path=word/charts/_rels/chart25.xml.rels><?xml version="1.0" encoding="UTF-8"?>
<Relationships xmlns="http://schemas.openxmlformats.org/package/2006/relationships"><Relationship Id="rId1" Type="http://schemas.openxmlformats.org/officeDocument/2006/relationships/oleObject" TargetMode="External" Target="file:/C:/Users/usuario/Downloads/ExpoFrancasCables.xlsx"/><Relationship Id="rId2" Type="http://schemas.microsoft.com/office/2011/relationships/chartStyle" Target="style36.xml"/><Relationship Id="rId3" Type="http://schemas.microsoft.com/office/2011/relationships/chartColorStyle" Target="colors36.xml"/></Relationships>
</file>

<file path=word/charts/_rels/chart26.xml.rels><?xml version="1.0" encoding="UTF-8"?>
<Relationships xmlns="http://schemas.openxmlformats.org/package/2006/relationships"><Relationship Id="rId1" Type="http://schemas.openxmlformats.org/officeDocument/2006/relationships/oleObject" TargetMode="External" Target="file:/C:/Users/usuario/Downloads/ExpoFrancasCables.xlsx"/><Relationship Id="rId2" Type="http://schemas.microsoft.com/office/2011/relationships/chartStyle" Target="style28.xml"/><Relationship Id="rId3" Type="http://schemas.microsoft.com/office/2011/relationships/chartColorStyle" Target="colors28.xml"/></Relationships>
</file>

<file path=word/charts/_rels/chart27.xml.rels><?xml version="1.0" encoding="UTF-8"?>
<Relationships xmlns="http://schemas.openxmlformats.org/package/2006/relationships"><Relationship Id="rId1" Type="http://schemas.openxmlformats.org/officeDocument/2006/relationships/oleObject" TargetMode="External" Target="file:/C:/Users/usuario/Downloads/ExpoFrancasAlambre.xlsx"/><Relationship Id="rId2" Type="http://schemas.microsoft.com/office/2011/relationships/chartStyle" Target="style12.xml"/><Relationship Id="rId3" Type="http://schemas.microsoft.com/office/2011/relationships/chartColorStyle" Target="colors12.xml"/></Relationships>
</file>

<file path=word/charts/_rels/chart28.xml.rels><?xml version="1.0" encoding="UTF-8"?>
<Relationships xmlns="http://schemas.openxmlformats.org/package/2006/relationships"><Relationship Id="rId1" Type="http://schemas.openxmlformats.org/officeDocument/2006/relationships/oleObject" TargetMode="External" Target="file:/C:/Users/usuario/Downloads/ExpoFrancasAlambre.xlsx"/><Relationship Id="rId2" Type="http://schemas.microsoft.com/office/2011/relationships/chartStyle" Target="style9.xml"/><Relationship Id="rId3" Type="http://schemas.microsoft.com/office/2011/relationships/chartColorStyle" Target="colors9.xml"/></Relationships>
</file>

<file path=word/charts/_rels/chart29.xml.rels><?xml version="1.0" encoding="UTF-8"?>
<Relationships xmlns="http://schemas.openxmlformats.org/package/2006/relationships"><Relationship Id="rId1" Type="http://schemas.openxmlformats.org/officeDocument/2006/relationships/oleObject" TargetMode="External" Target="file:/C:/Users/usuario/Downloads/ExpoFrancasAlambre.xlsx"/><Relationship Id="rId2" Type="http://schemas.microsoft.com/office/2011/relationships/chartStyle" Target="style10.xml"/><Relationship Id="rId3" Type="http://schemas.microsoft.com/office/2011/relationships/chartColorStyle" Target="colors10.xml"/></Relationships>
</file>

<file path=word/charts/_rels/chart3.xml.rels><?xml version="1.0" encoding="UTF-8"?>
<Relationships xmlns="http://schemas.openxmlformats.org/package/2006/relationships"><Relationship Id="rId1" Type="http://schemas.openxmlformats.org/officeDocument/2006/relationships/oleObject" TargetMode="External" Target="file:/C:/Users/usuario/Downloads/PIB%20ANUAL%20POR%20CATEGORIAS%20EDITADO.xlsx"/><Relationship Id="rId2" Type="http://schemas.microsoft.com/office/2011/relationships/chartStyle" Target="style18.xml"/><Relationship Id="rId3" Type="http://schemas.microsoft.com/office/2011/relationships/chartColorStyle" Target="colors18.xml"/></Relationships>
</file>

<file path=word/charts/_rels/chart30.xml.rels><?xml version="1.0" encoding="UTF-8"?>
<Relationships xmlns="http://schemas.openxmlformats.org/package/2006/relationships"><Relationship Id="rId1" Type="http://schemas.openxmlformats.org/officeDocument/2006/relationships/oleObject" TargetMode="External" Target="file:/C:/Users/usuario/Downloads/ExpoFrancasCarbonVegetal.xlsx"/><Relationship Id="rId2" Type="http://schemas.microsoft.com/office/2011/relationships/chartStyle" Target="style31.xml"/><Relationship Id="rId3" Type="http://schemas.microsoft.com/office/2011/relationships/chartColorStyle" Target="colors31.xml"/></Relationships>
</file>

<file path=word/charts/_rels/chart31.xml.rels><?xml version="1.0" encoding="UTF-8"?>
<Relationships xmlns="http://schemas.openxmlformats.org/package/2006/relationships"><Relationship Id="rId1" Type="http://schemas.openxmlformats.org/officeDocument/2006/relationships/oleObject" TargetMode="External" Target="file:/C:/Users/usuario/Downloads/ExpoFrancasCarbonVegetal.xlsx"/><Relationship Id="rId2" Type="http://schemas.microsoft.com/office/2011/relationships/chartStyle" Target="style4.xml"/><Relationship Id="rId3" Type="http://schemas.microsoft.com/office/2011/relationships/chartColorStyle" Target="colors4.xml"/></Relationships>
</file>

<file path=word/charts/_rels/chart32.xml.rels><?xml version="1.0" encoding="UTF-8"?>
<Relationships xmlns="http://schemas.openxmlformats.org/package/2006/relationships"><Relationship Id="rId1" Type="http://schemas.openxmlformats.org/officeDocument/2006/relationships/oleObject" TargetMode="External" Target="file:/C:/Users/usuario/Downloads/ExpoFrancasCarbonVegetal.xlsx"/><Relationship Id="rId2" Type="http://schemas.microsoft.com/office/2011/relationships/chartStyle" Target="style35.xml"/><Relationship Id="rId3" Type="http://schemas.microsoft.com/office/2011/relationships/chartColorStyle" Target="colors35.xml"/></Relationships>
</file>

<file path=word/charts/_rels/chart33.xml.rels><?xml version="1.0" encoding="UTF-8"?>
<Relationships xmlns="http://schemas.openxmlformats.org/package/2006/relationships"><Relationship Id="rId1" Type="http://schemas.openxmlformats.org/officeDocument/2006/relationships/oleObject" TargetMode="External" Target="file:/C:/Users/usuario/Downloads/ExpoFrancasCarbonVegetal.xlsx"/><Relationship Id="rId2" Type="http://schemas.microsoft.com/office/2011/relationships/chartStyle" Target="style43.xml"/><Relationship Id="rId3" Type="http://schemas.microsoft.com/office/2011/relationships/chartColorStyle" Target="colors43.xml"/></Relationships>
</file>

<file path=word/charts/_rels/chart34.xml.rels><?xml version="1.0" encoding="UTF-8"?>
<Relationships xmlns="http://schemas.openxmlformats.org/package/2006/relationships"><Relationship Id="rId1" Type="http://schemas.openxmlformats.org/officeDocument/2006/relationships/oleObject" TargetMode="External" Target="file:/C:/Users/usuario/Downloads/ExpoFrancasCarbonVegetal.xlsx"/><Relationship Id="rId2" Type="http://schemas.microsoft.com/office/2011/relationships/chartStyle" Target="style25.xml"/><Relationship Id="rId3" Type="http://schemas.microsoft.com/office/2011/relationships/chartColorStyle" Target="colors25.xml"/></Relationships>
</file>

<file path=word/charts/_rels/chart35.xml.rels><?xml version="1.0" encoding="UTF-8"?>
<Relationships xmlns="http://schemas.openxmlformats.org/package/2006/relationships"><Relationship Id="rId1" Type="http://schemas.openxmlformats.org/officeDocument/2006/relationships/oleObject" TargetMode="External" Target="file:/C:/Users/usuario/Downloads/ExpoFrancasCarbonVegetal.xlsx"/><Relationship Id="rId2" Type="http://schemas.microsoft.com/office/2011/relationships/chartStyle" Target="style27.xml"/><Relationship Id="rId3" Type="http://schemas.microsoft.com/office/2011/relationships/chartColorStyle" Target="colors27.xml"/></Relationships>
</file>

<file path=word/charts/_rels/chart36.xml.rels><?xml version="1.0" encoding="UTF-8"?>
<Relationships xmlns="http://schemas.openxmlformats.org/package/2006/relationships"><Relationship Id="rId1" Type="http://schemas.openxmlformats.org/officeDocument/2006/relationships/oleObject" TargetMode="External" Target="file:/C:/Users/nosky/Desktop/Trabajos%20Universidad/Semestre%205/Estadistica/BasesEstudiadas/BasesListas/ExpoMedicaBelice.xlsx"/><Relationship Id="rId2" Type="http://schemas.microsoft.com/office/2011/relationships/chartStyle" Target="style7.xml"/><Relationship Id="rId3" Type="http://schemas.microsoft.com/office/2011/relationships/chartColorStyle" Target="colors7.xml"/></Relationships>
</file>

<file path=word/charts/_rels/chart37.xml.rels><?xml version="1.0" encoding="UTF-8"?>
<Relationships xmlns="http://schemas.openxmlformats.org/package/2006/relationships"><Relationship Id="rId1" Type="http://schemas.openxmlformats.org/officeDocument/2006/relationships/oleObject" TargetMode="External" Target="file:/C:/Users/nosky/Desktop/Trabajos%20Universidad/Semestre%205/Estadistica/BasesEstudiadas/BasesListas/ExpoMedicaBelice.xlsx"/><Relationship Id="rId2" Type="http://schemas.microsoft.com/office/2011/relationships/chartStyle" Target="style40.xml"/><Relationship Id="rId3" Type="http://schemas.microsoft.com/office/2011/relationships/chartColorStyle" Target="colors40.xml"/></Relationships>
</file>

<file path=word/charts/_rels/chart38.xml.rels><?xml version="1.0" encoding="UTF-8"?>
<Relationships xmlns="http://schemas.openxmlformats.org/package/2006/relationships"><Relationship Id="rId1" Type="http://schemas.openxmlformats.org/officeDocument/2006/relationships/oleObject" TargetMode="External" Target="file:/C:/Users/nosky/Desktop/Trabajos%20Universidad/Semestre%205/Estadistica/BasesEstudiadas/BasesListas/ExpoMedicaBelice.xlsx"/><Relationship Id="rId2" Type="http://schemas.microsoft.com/office/2011/relationships/chartStyle" Target="style14.xml"/><Relationship Id="rId3" Type="http://schemas.microsoft.com/office/2011/relationships/chartColorStyle" Target="colors14.xml"/></Relationships>
</file>

<file path=word/charts/_rels/chart39.xml.rels><?xml version="1.0" encoding="UTF-8"?>
<Relationships xmlns="http://schemas.openxmlformats.org/package/2006/relationships"><Relationship Id="rId1" Type="http://schemas.openxmlformats.org/officeDocument/2006/relationships/oleObject" TargetMode="External" Target="file:/C:/Users/nosky/Desktop/Trabajos%20Universidad/Semestre%205/Estadistica/BasesEstudiadas/BasesListas/ExpoMedicaBelice.xlsx"/><Relationship Id="rId2" Type="http://schemas.microsoft.com/office/2011/relationships/chartStyle" Target="style38.xml"/><Relationship Id="rId3" Type="http://schemas.microsoft.com/office/2011/relationships/chartColorStyle" Target="colors38.xml"/></Relationships>
</file>

<file path=word/charts/_rels/chart4.xml.rels><?xml version="1.0" encoding="UTF-8"?>
<Relationships xmlns="http://schemas.openxmlformats.org/package/2006/relationships"><Relationship Id="rId1" Type="http://schemas.openxmlformats.org/officeDocument/2006/relationships/oleObject" TargetMode="External" Target="file:/C:/Users/usuario/Downloads/PIB%20ANUAL%20POR%20CATEGORIAS%20EDITADO.xlsx"/><Relationship Id="rId2" Type="http://schemas.microsoft.com/office/2011/relationships/chartStyle" Target="style22.xml"/><Relationship Id="rId3" Type="http://schemas.microsoft.com/office/2011/relationships/chartColorStyle" Target="colors22.xml"/></Relationships>
</file>

<file path=word/charts/_rels/chart40.xml.rels><?xml version="1.0" encoding="UTF-8"?>
<Relationships xmlns="http://schemas.openxmlformats.org/package/2006/relationships"><Relationship Id="rId1" Type="http://schemas.openxmlformats.org/officeDocument/2006/relationships/oleObject" TargetMode="External" Target="file:/C:/Users/usuario/Downloads/Importaciones%20por%20Arancel%20-%20Textiles.xlsx"/><Relationship Id="rId2" Type="http://schemas.microsoft.com/office/2011/relationships/chartStyle" Target="style39.xml"/><Relationship Id="rId3" Type="http://schemas.microsoft.com/office/2011/relationships/chartColorStyle" Target="colors39.xml"/></Relationships>
</file>

<file path=word/charts/_rels/chart41.xml.rels><?xml version="1.0" encoding="UTF-8"?>
<Relationships xmlns="http://schemas.openxmlformats.org/package/2006/relationships"><Relationship Id="rId1" Type="http://schemas.openxmlformats.org/officeDocument/2006/relationships/oleObject" TargetMode="External" Target="file:/C:/Users/usuario/Downloads/ImpZonasFrancasElectronicos.xlsx"/><Relationship Id="rId2" Type="http://schemas.microsoft.com/office/2011/relationships/chartStyle" Target="style3.xml"/><Relationship Id="rId3" Type="http://schemas.microsoft.com/office/2011/relationships/chartColorStyle" Target="colors3.xml"/></Relationships>
</file>

<file path=word/charts/_rels/chart42.xml.rels><?xml version="1.0" encoding="UTF-8"?>
<Relationships xmlns="http://schemas.openxmlformats.org/package/2006/relationships"><Relationship Id="rId1" Type="http://schemas.openxmlformats.org/officeDocument/2006/relationships/oleObject" TargetMode="External" Target="file:/C:/Users/nosky/Desktop/Trabajos%20Universidad/Semestre%205/Estadistica/BasesEstudiadas/BasesListas/Impo-Franca9007.xlsx"/><Relationship Id="rId2" Type="http://schemas.microsoft.com/office/2011/relationships/chartStyle" Target="style21.xml"/><Relationship Id="rId3" Type="http://schemas.microsoft.com/office/2011/relationships/chartColorStyle" Target="colors21.xml"/></Relationships>
</file>

<file path=word/charts/_rels/chart43.xml.rels><?xml version="1.0" encoding="UTF-8"?>
<Relationships xmlns="http://schemas.openxmlformats.org/package/2006/relationships"><Relationship Id="rId1" Type="http://schemas.openxmlformats.org/officeDocument/2006/relationships/oleObject" TargetMode="External" Target="file:/C:/Users/usuario/Downloads/ImpZonasFrancasElectronicos.xlsx"/><Relationship Id="rId2" Type="http://schemas.microsoft.com/office/2011/relationships/chartStyle" Target="style16.xml"/><Relationship Id="rId3" Type="http://schemas.microsoft.com/office/2011/relationships/chartColorStyle" Target="colors16.xml"/></Relationships>
</file>

<file path=word/charts/_rels/chart44.xml.rels><?xml version="1.0" encoding="UTF-8"?>
<Relationships xmlns="http://schemas.openxmlformats.org/package/2006/relationships"><Relationship Id="rId1" Type="http://schemas.openxmlformats.org/officeDocument/2006/relationships/oleObject" TargetMode="External" Target="file:/C:/Users/usuario/Downloads/ImpZonasFrancasElectronicos.xlsx"/><Relationship Id="rId2" Type="http://schemas.microsoft.com/office/2011/relationships/chartStyle" Target="style20.xml"/><Relationship Id="rId3" Type="http://schemas.microsoft.com/office/2011/relationships/chartColorStyle" Target="colors20.xml"/></Relationships>
</file>

<file path=word/charts/_rels/chart5.xml.rels><?xml version="1.0" encoding="UTF-8"?>
<Relationships xmlns="http://schemas.openxmlformats.org/package/2006/relationships"><Relationship Id="rId1" Type="http://schemas.openxmlformats.org/officeDocument/2006/relationships/oleObject" TargetMode="External" Target="file:/C:/Users/usuario/Downloads/PIB%20ANUAL%20POR%20CATEGORIAS%20EDITADO.xlsx"/><Relationship Id="rId2" Type="http://schemas.microsoft.com/office/2011/relationships/chartStyle" Target="style37.xml"/><Relationship Id="rId3" Type="http://schemas.microsoft.com/office/2011/relationships/chartColorStyle" Target="colors37.xml"/></Relationships>
</file>

<file path=word/charts/_rels/chart6.xml.rels><?xml version="1.0" encoding="UTF-8"?>
<Relationships xmlns="http://schemas.openxmlformats.org/package/2006/relationships"><Relationship Id="rId1" Type="http://schemas.openxmlformats.org/officeDocument/2006/relationships/oleObject" TargetMode="External" Target="file:/C:/Users/usuario/Downloads/PIB%20por%20categor&#237;a%20economica.xlsx"/><Relationship Id="rId2" Type="http://schemas.microsoft.com/office/2011/relationships/chartStyle" Target="style23.xml"/><Relationship Id="rId3" Type="http://schemas.microsoft.com/office/2011/relationships/chartColorStyle" Target="colors23.xml"/></Relationships>
</file>

<file path=word/charts/_rels/chart7.xml.rels><?xml version="1.0" encoding="UTF-8"?>
<Relationships xmlns="http://schemas.openxmlformats.org/package/2006/relationships"><Relationship Id="rId1" Type="http://schemas.openxmlformats.org/officeDocument/2006/relationships/oleObject" TargetMode="External" Target="file:/C:/Users/usuario/Downloads/PIB%20por%20categor&#237;a%20economica.xlsx"/><Relationship Id="rId2" Type="http://schemas.microsoft.com/office/2011/relationships/chartStyle" Target="style6.xml"/><Relationship Id="rId3" Type="http://schemas.microsoft.com/office/2011/relationships/chartColorStyle" Target="colors6.xml"/></Relationships>
</file>

<file path=word/charts/_rels/chart8.xml.rels><?xml version="1.0" encoding="UTF-8"?>
<Relationships xmlns="http://schemas.openxmlformats.org/package/2006/relationships"><Relationship Id="rId1" Type="http://schemas.openxmlformats.org/officeDocument/2006/relationships/oleObject" TargetMode="External" Target="file:/C:/Users/usuario/Downloads/PIB%20por%20categor&#237;a%20economica.xlsx"/><Relationship Id="rId2" Type="http://schemas.microsoft.com/office/2011/relationships/chartStyle" Target="style26.xml"/><Relationship Id="rId3" Type="http://schemas.microsoft.com/office/2011/relationships/chartColorStyle" Target="colors26.xml"/></Relationships>
</file>

<file path=word/charts/_rels/chart9.xml.rels><?xml version="1.0" encoding="UTF-8"?>
<Relationships xmlns="http://schemas.openxmlformats.org/package/2006/relationships"><Relationship Id="rId1" Type="http://schemas.openxmlformats.org/officeDocument/2006/relationships/oleObject" TargetMode="External" Target="file:/C:/Users/javie/Desktop/Japete%20no/uni/sem%205/E/Proyecto/bds/PIB%20por%20categor&#237;a%20economica.xlsx"/><Relationship Id="rId2" Type="http://schemas.microsoft.com/office/2011/relationships/chartStyle" Target="style32.xml"/><Relationship Id="rId3" Type="http://schemas.microsoft.com/office/2011/relationships/chartColorStyle" Target="colors3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A"/>
              <a:t>COMPARACIÓN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AGRICULTURA</a:t>
                    </a:r>
                  </a:p>
                </c:rich>
              </c:tx>
              <c:showLegendKey val="0"/>
              <c:showVal val="1"/>
              <c:showCatName val="0"/>
              <c:showSerName val="0"/>
              <c:showPercent val="0"/>
              <c:showBubbleSize val="0"/>
              <c:extLst>
                <c:ext xmlns:c15="http://schemas.microsoft.com/office/drawing/2012/chart" uri="{CE6537A1-D6FC-4f65-9D91-7224C49458BB}">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xmlns:c15="http://schemas.microsoft.com/office/drawing/2012/chart" uri="{02D57815-91ED-43cb-92C2-25804820EDAC}"/>
              </c:extLst>
              <c:strCache>
                <c:ptCount val="1"/>
                <c:pt idx="0">
                  <c:v>Categorías</c:v>
                </c:pt>
              </c:strCache>
            </c:strRef>
          </c:cat>
          <c:val>
            <c:numRef>
              <c:extLst>
                <c:ext xmlns:c15="http://schemas.microsoft.com/office/drawing/2012/chart" uri="{02D57815-91ED-43cb-92C2-25804820EDAC}"/>
              </c:extLst>
              <c:numCache>
                <c:formatCode>General</c:formatCode>
                <c:ptCount val="1"/>
                <c:pt idx="0">
                  <c:v>3999.646131</c:v>
                </c:pt>
              </c:numCache>
            </c:numRef>
          </c:val>
        </c:ser>
        <c:ser>
          <c:idx val="1"/>
          <c:order val="1"/>
          <c:tx>
            <c:v>AGRICULTURA</c:v>
          </c:tx>
          <c:spPr>
            <a:solidFill>
              <a:schemeClr val="accent2"/>
            </a:solidFill>
            <a:ln>
              <a:noFill/>
            </a:ln>
            <a:effectLst/>
          </c:spPr>
          <c:invertIfNegative val="0"/>
          <c:dLbls>
            <c:dLbl>
              <c:idx val="0"/>
              <c:tx>
                <c:rich>
                  <a:bodyPr/>
                  <a:lstStyle/>
                  <a:p>
                    <a:r>
                      <a:rPr lang="en-US"/>
                      <a:t>PESCA</a:t>
                    </a:r>
                  </a:p>
                </c:rich>
              </c:tx>
              <c:showLegendKey val="0"/>
              <c:showVal val="1"/>
              <c:showCatName val="0"/>
              <c:showSerName val="0"/>
              <c:showPercent val="0"/>
              <c:showBubbleSize val="0"/>
              <c:extLst>
                <c:ext xmlns:c15="http://schemas.microsoft.com/office/drawing/2012/chart" uri="{CE6537A1-D6FC-4f65-9D91-7224C49458BB}">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xmlns:c15="http://schemas.microsoft.com/office/drawing/2012/chart" uri="{02D57815-91ED-43cb-92C2-25804820EDAC}"/>
              </c:extLst>
              <c:strCache>
                <c:ptCount val="1"/>
                <c:pt idx="0">
                  <c:v>Categorías</c:v>
                </c:pt>
              </c:strCache>
            </c:strRef>
          </c:cat>
          <c:val>
            <c:numRef>
              <c:extLst>
                <c:ext xmlns:c15="http://schemas.microsoft.com/office/drawing/2012/chart" uri="{02D57815-91ED-43cb-92C2-25804820EDAC}"/>
              </c:extLst>
              <c:numCache>
                <c:formatCode>General</c:formatCode>
                <c:ptCount val="1"/>
                <c:pt idx="0">
                  <c:v>3971.001935</c:v>
                </c:pt>
              </c:numCache>
            </c:numRef>
          </c:val>
        </c:ser>
        <c:ser>
          <c:idx val="2"/>
          <c:order val="2"/>
          <c:tx>
            <c:v>HOTELES</c:v>
          </c:tx>
          <c:spPr>
            <a:solidFill>
              <a:schemeClr val="accent3"/>
            </a:solidFill>
            <a:ln>
              <a:noFill/>
            </a:ln>
            <a:effectLst/>
          </c:spPr>
          <c:invertIfNegative val="0"/>
          <c:dLbls>
            <c:dLbl>
              <c:idx val="0"/>
              <c:tx>
                <c:rich>
                  <a:bodyPr/>
                  <a:lstStyle/>
                  <a:p>
                    <a:r>
                      <a:rPr lang="en-US"/>
                      <a:t>HOTELES</a:t>
                    </a:r>
                  </a:p>
                </c:rich>
              </c:tx>
              <c:showLegendKey val="0"/>
              <c:showVal val="1"/>
              <c:showCatName val="0"/>
              <c:showSerName val="0"/>
              <c:showPercent val="0"/>
              <c:showBubbleSize val="0"/>
              <c:extLst>
                <c:ext xmlns:c15="http://schemas.microsoft.com/office/drawing/2012/chart" uri="{CE6537A1-D6FC-4f65-9D91-7224C49458BB}">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xmlns:c15="http://schemas.microsoft.com/office/drawing/2012/chart" uri="{02D57815-91ED-43cb-92C2-25804820EDAC}"/>
              </c:extLst>
              <c:strCache>
                <c:ptCount val="1"/>
                <c:pt idx="0">
                  <c:v>Categorías</c:v>
                </c:pt>
              </c:strCache>
            </c:strRef>
          </c:cat>
          <c:val>
            <c:numRef>
              <c:extLst>
                <c:ext xmlns:c15="http://schemas.microsoft.com/office/drawing/2012/chart" uri="{02D57815-91ED-43cb-92C2-25804820EDAC}"/>
              </c:extLst>
              <c:numCache>
                <c:formatCode>General</c:formatCode>
                <c:ptCount val="1"/>
                <c:pt idx="0">
                  <c:v>4022.990491</c:v>
                </c:pt>
              </c:numCache>
            </c:numRef>
          </c:val>
        </c:ser>
        <c:dLbls>
          <c:showLegendKey val="0"/>
          <c:showVal val="0"/>
          <c:showCatName val="0"/>
          <c:showSerName val="0"/>
          <c:showPercent val="0"/>
          <c:showBubbleSize val="0"/>
        </c:dLbls>
        <c:gapWidth val="219"/>
        <c:overlap val="-27"/>
        <c:axId val="314610656"/>
        <c:axId val="314612456"/>
      </c:barChart>
      <c:catAx>
        <c:axId val="314610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314612456"/>
        <c:crosses val="autoZero"/>
        <c:auto val="1"/>
        <c:lblAlgn val="ctr"/>
        <c:lblOffset val="100"/>
        <c:noMultiLvlLbl val="0"/>
      </c:catAx>
      <c:valAx>
        <c:axId val="314612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31461065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[Importaciones por Arancel - Maquillaje.xlsx]País CIF!TablaDinámica3</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'País CIF'!$B$3</c:f>
              <c:strCache>
                <c:ptCount val="1"/>
                <c:pt idx="0">
                  <c:v>Total</c:v>
                </c:pt>
              </c:strCache>
            </c:strRef>
          </c:tx>
          <c:spPr>
            <a:solidFill>
              <a:schemeClr val="accent1"/>
            </a:solidFill>
            <a:ln>
              <a:noFill/>
            </a:ln>
            <a:effectLst/>
          </c:spPr>
          <c:invertIfNegative val="0"/>
          <c:cat>
            <c:strRef>
              <c:f>'País CIF'!$A$4:$A$31</c:f>
              <c:strCache>
                <c:ptCount val="27"/>
                <c:pt idx="0">
                  <c:v>103</c:v>
                </c:pt>
                <c:pt idx="1">
                  <c:v>105</c:v>
                </c:pt>
                <c:pt idx="2">
                  <c:v>107</c:v>
                </c:pt>
                <c:pt idx="3">
                  <c:v>211</c:v>
                </c:pt>
                <c:pt idx="4">
                  <c:v>214</c:v>
                </c:pt>
                <c:pt idx="5">
                  <c:v>218</c:v>
                </c:pt>
                <c:pt idx="6">
                  <c:v>224</c:v>
                </c:pt>
                <c:pt idx="7">
                  <c:v>232</c:v>
                </c:pt>
                <c:pt idx="8">
                  <c:v>236</c:v>
                </c:pt>
                <c:pt idx="9">
                  <c:v>249</c:v>
                </c:pt>
                <c:pt idx="10">
                  <c:v>311</c:v>
                </c:pt>
                <c:pt idx="11">
                  <c:v>314</c:v>
                </c:pt>
                <c:pt idx="12">
                  <c:v>333</c:v>
                </c:pt>
                <c:pt idx="13">
                  <c:v>402</c:v>
                </c:pt>
                <c:pt idx="14">
                  <c:v>415</c:v>
                </c:pt>
                <c:pt idx="15">
                  <c:v>416</c:v>
                </c:pt>
                <c:pt idx="16">
                  <c:v>417</c:v>
                </c:pt>
                <c:pt idx="17">
                  <c:v>422</c:v>
                </c:pt>
                <c:pt idx="18">
                  <c:v>432</c:v>
                </c:pt>
                <c:pt idx="19">
                  <c:v>441</c:v>
                </c:pt>
                <c:pt idx="20">
                  <c:v>443</c:v>
                </c:pt>
                <c:pt idx="21">
                  <c:v>462</c:v>
                </c:pt>
                <c:pt idx="22">
                  <c:v>517</c:v>
                </c:pt>
                <c:pt idx="23">
                  <c:v>518</c:v>
                </c:pt>
                <c:pt idx="24">
                  <c:v>528</c:v>
                </c:pt>
                <c:pt idx="25">
                  <c:v>531</c:v>
                </c:pt>
                <c:pt idx="26">
                  <c:v>572</c:v>
                </c:pt>
              </c:strCache>
            </c:strRef>
          </c:cat>
          <c:val>
            <c:numRef>
              <c:f>'País CIF'!$B$4:$B$31</c:f>
              <c:numCache>
                <c:formatCode>General</c:formatCode>
                <c:ptCount val="27"/>
                <c:pt idx="0">
                  <c:v>693.0</c:v>
                </c:pt>
                <c:pt idx="1">
                  <c:v>1581419.0</c:v>
                </c:pt>
                <c:pt idx="2">
                  <c:v>329793.0</c:v>
                </c:pt>
                <c:pt idx="3">
                  <c:v>633531.0</c:v>
                </c:pt>
                <c:pt idx="4">
                  <c:v>9091.0</c:v>
                </c:pt>
                <c:pt idx="5">
                  <c:v>64902.0</c:v>
                </c:pt>
                <c:pt idx="6">
                  <c:v>1068755.0</c:v>
                </c:pt>
                <c:pt idx="7">
                  <c:v>205.0</c:v>
                </c:pt>
                <c:pt idx="8">
                  <c:v>181811.0</c:v>
                </c:pt>
                <c:pt idx="9">
                  <c:v>8882.0</c:v>
                </c:pt>
                <c:pt idx="10">
                  <c:v>1912214.0</c:v>
                </c:pt>
                <c:pt idx="11">
                  <c:v>5345.0</c:v>
                </c:pt>
                <c:pt idx="12">
                  <c:v>32594.0</c:v>
                </c:pt>
                <c:pt idx="13">
                  <c:v>85457.0</c:v>
                </c:pt>
                <c:pt idx="14">
                  <c:v>10957.0</c:v>
                </c:pt>
                <c:pt idx="15">
                  <c:v>987.0</c:v>
                </c:pt>
                <c:pt idx="16">
                  <c:v>69553.0</c:v>
                </c:pt>
                <c:pt idx="17">
                  <c:v>113490.0</c:v>
                </c:pt>
                <c:pt idx="18">
                  <c:v>54557.0</c:v>
                </c:pt>
                <c:pt idx="19">
                  <c:v>1086.0</c:v>
                </c:pt>
                <c:pt idx="20">
                  <c:v>935.0</c:v>
                </c:pt>
                <c:pt idx="21">
                  <c:v>23528.0</c:v>
                </c:pt>
                <c:pt idx="22">
                  <c:v>36494.0</c:v>
                </c:pt>
                <c:pt idx="23">
                  <c:v>124582.0</c:v>
                </c:pt>
                <c:pt idx="24">
                  <c:v>4438.0</c:v>
                </c:pt>
                <c:pt idx="25">
                  <c:v>19910.0</c:v>
                </c:pt>
                <c:pt idx="26">
                  <c:v>4832.0</c:v>
                </c:pt>
              </c:numCache>
            </c:numRef>
          </c:val>
        </c:ser>
        <c:dLbls>
          <c:showLegendKey val="0"/>
          <c:showVal val="0"/>
          <c:showCatName val="0"/>
          <c:showSerName val="0"/>
          <c:showPercent val="0"/>
          <c:showBubbleSize val="0"/>
        </c:dLbls>
        <c:gapWidth val="219"/>
        <c:overlap val="-27"/>
        <c:axId val="630050512"/>
        <c:axId val="179515536"/>
      </c:barChart>
      <c:catAx>
        <c:axId val="630050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79515536"/>
        <c:crosses val="autoZero"/>
        <c:auto val="1"/>
        <c:lblAlgn val="ctr"/>
        <c:lblOffset val="100"/>
        <c:noMultiLvlLbl val="0"/>
      </c:catAx>
      <c:valAx>
        <c:axId val="179515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6300505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6"/>
          <c:order val="6"/>
          <c:tx>
            <c:v>TERRESTRE CIF</c:v>
          </c:tx>
          <c:spPr>
            <a:solidFill>
              <a:schemeClr val="accent1">
                <a:lumMod val="60000"/>
              </a:schemeClr>
            </a:solidFill>
            <a:ln>
              <a:noFill/>
            </a:ln>
            <a:effectLst/>
          </c:spPr>
          <c:invertIfNegative val="0"/>
          <c:val>
            <c:numRef>
              <c:f>'Primeras Hipotesis'!$P$1212</c:f>
              <c:numCache>
                <c:formatCode>General</c:formatCode>
                <c:ptCount val="1"/>
                <c:pt idx="0">
                  <c:v>48890812.0612998</c:v>
                </c:pt>
              </c:numCache>
            </c:numRef>
          </c:val>
        </c:ser>
        <c:ser>
          <c:idx val="7"/>
          <c:order val="7"/>
          <c:tx>
            <c:v>AEREO CIF</c:v>
          </c:tx>
          <c:spPr>
            <a:solidFill>
              <a:schemeClr val="accent2">
                <a:lumMod val="60000"/>
              </a:schemeClr>
            </a:solidFill>
            <a:ln>
              <a:noFill/>
            </a:ln>
            <a:effectLst/>
          </c:spPr>
          <c:invertIfNegative val="0"/>
          <c:val>
            <c:numRef>
              <c:f>'Primeras Hipotesis'!$L$1212</c:f>
              <c:numCache>
                <c:formatCode>General</c:formatCode>
                <c:ptCount val="1"/>
                <c:pt idx="0">
                  <c:v>28409260.2414854</c:v>
                </c:pt>
              </c:numCache>
            </c:numRef>
          </c:val>
        </c:ser>
        <c:ser>
          <c:idx val="8"/>
          <c:order val="8"/>
          <c:tx>
            <c:v>MARITIMA CIF</c:v>
          </c:tx>
          <c:spPr>
            <a:solidFill>
              <a:schemeClr val="accent3">
                <a:lumMod val="60000"/>
              </a:schemeClr>
            </a:solidFill>
            <a:ln>
              <a:noFill/>
            </a:ln>
            <a:effectLst/>
          </c:spPr>
          <c:invertIfNegative val="0"/>
          <c:val>
            <c:numRef>
              <c:f>'Primeras Hipotesis'!$N$1212</c:f>
              <c:numCache>
                <c:formatCode>General</c:formatCode>
                <c:ptCount val="1"/>
                <c:pt idx="0">
                  <c:v>463006399.803199</c:v>
                </c:pt>
              </c:numCache>
            </c:numRef>
          </c:val>
        </c:ser>
        <c:dLbls>
          <c:showLegendKey val="0"/>
          <c:showVal val="0"/>
          <c:showCatName val="0"/>
          <c:showSerName val="0"/>
          <c:showPercent val="0"/>
          <c:showBubbleSize val="0"/>
        </c:dLbls>
        <c:gapWidth val="219"/>
        <c:overlap val="-27"/>
        <c:axId val="525587552"/>
        <c:axId val="525590432"/>
        <c:extLst>
          <c:ext xmlns:c15="http://schemas.microsoft.com/office/drawing/2012/chart" uri="{02D57815-91ED-43cb-92C2-25804820EDAC}">
            <c15:filteredBarSeries>
              <c15:ser>
                <c:idx val="0"/>
                <c:order val="0"/>
                <c:tx>
                  <c:strRef>
                    <c:extLst>
                      <c:ext xmlns:c15="http://schemas.microsoft.com/office/drawing/2012/chart" uri="{02D57815-91ED-43cb-92C2-25804820EDAC}">
                        <c15:formulaRef>
                          <c15:sqref>'Primeras Hipotesis'!$L$808:$L$910</c15:sqref>
                        </c15:formulaRef>
                      </c:ext>
                    </c:extLst>
                    <c:strCache>
                      <c:ptCount val="103"/>
                      <c:pt idx="0">
                        <c:v>Aereo</c:v>
                      </c:pt>
                      <c:pt idx="33">
                        <c:v>CIF</c:v>
                      </c:pt>
                    </c:strCache>
                  </c:strRef>
                </c:tx>
                <c:spPr>
                  <a:solidFill>
                    <a:schemeClr val="accent1"/>
                  </a:solidFill>
                  <a:ln>
                    <a:noFill/>
                  </a:ln>
                  <a:effectLst/>
                </c:spPr>
                <c:invertIfNegative val="0"/>
                <c:cat>
                  <c:strRef>
                    <c:extLst>
                      <c:ext xmlns:c15="http://schemas.microsoft.com/office/drawing/2012/chart" uri="{02D57815-91ED-43cb-92C2-25804820EDAC}">
                        <c15:formulaRef>
                          <c15:sqref>'Primeras Hipotesis'!$K$911:$K$1212</c15:sqref>
                        </c15:formulaRef>
                      </c:ext>
                    </c:extLst>
                    <c:strCache>
                      <c:ptCount val="3"/>
                      <c:pt idx="0">
                        <c:v>Media</c:v>
                      </c:pt>
                      <c:pt idx="1">
                        <c:v>Desv Estandar</c:v>
                      </c:pt>
                      <c:pt idx="2">
                        <c:v>Varianza</c:v>
                      </c:pt>
                    </c:strCache>
                  </c:strRef>
                </c:cat>
                <c:val>
                  <c:numRef>
                    <c:extLst>
                      <c:ext xmlns:c15="http://schemas.microsoft.com/office/drawing/2012/chart" uri="{02D57815-91ED-43cb-92C2-25804820EDAC}">
                        <c15:formulaRef>
                          <c15:sqref>'Primeras Hipotesis'!$L$911:$L$1212</c15:sqref>
                        </c15:formulaRef>
                      </c:ext>
                    </c:extLst>
                    <c:numCache>
                      <c:formatCode>General</c:formatCode>
                      <c:ptCount val="3"/>
                      <c:pt idx="0">
                        <c:v>6056.01111111111</c:v>
                      </c:pt>
                      <c:pt idx="1">
                        <c:v>5335.03148232141</c:v>
                      </c:pt>
                      <c:pt idx="2">
                        <c:v>28409260.2414854</c:v>
                      </c:pt>
                    </c:numCache>
                  </c:numRef>
                </c:val>
              </c15:ser>
            </c15:filteredBarSeries>
            <c15:filteredBarSeries>
              <c15:ser>
                <c:idx val="1"/>
                <c:order val="1"/>
                <c:tx>
                  <c:strRef>
                    <c:extLst>
                      <c:ext xmlns:c15="http://schemas.microsoft.com/office/drawing/2012/chart" uri="{02D57815-91ED-43cb-92C2-25804820EDAC}">
                        <c15:formulaRef>
                          <c15:sqref>'Primeras Hipotesis'!$M$808:$M$910</c15:sqref>
                        </c15:formulaRef>
                      </c:ext>
                    </c:extLst>
                    <c:strCache>
                      <c:ptCount val="103"/>
                      <c:pt idx="0">
                        <c:v>Aereo</c:v>
                      </c:pt>
                      <c:pt idx="33">
                        <c:v>Peso Neto</c:v>
                      </c:pt>
                    </c:strCache>
                  </c:strRef>
                </c:tx>
                <c:spPr>
                  <a:solidFill>
                    <a:schemeClr val="accent2"/>
                  </a:solidFill>
                  <a:ln>
                    <a:noFill/>
                  </a:ln>
                  <a:effectLst/>
                </c:spPr>
                <c:invertIfNegative val="0"/>
                <c:cat>
                  <c:strRef>
                    <c:extLst>
                      <c:ext xmlns:c15="http://schemas.microsoft.com/office/drawing/2012/chart" uri="{02D57815-91ED-43cb-92C2-25804820EDAC}">
                        <c15:formulaRef>
                          <c15:sqref>'Primeras Hipotesis'!$K$911:$K$1212</c15:sqref>
                        </c15:formulaRef>
                      </c:ext>
                    </c:extLst>
                    <c:strCache>
                      <c:ptCount val="3"/>
                      <c:pt idx="0">
                        <c:v>Media</c:v>
                      </c:pt>
                      <c:pt idx="1">
                        <c:v>Desv Estandar</c:v>
                      </c:pt>
                      <c:pt idx="2">
                        <c:v>Varianza</c:v>
                      </c:pt>
                    </c:strCache>
                  </c:strRef>
                </c:cat>
                <c:val>
                  <c:numRef>
                    <c:extLst>
                      <c:ext xmlns:c15="http://schemas.microsoft.com/office/drawing/2012/chart" uri="{02D57815-91ED-43cb-92C2-25804820EDAC}">
                        <c15:formulaRef>
                          <c15:sqref>'Primeras Hipotesis'!$M$911:$M$1212</c15:sqref>
                        </c15:formulaRef>
                      </c:ext>
                    </c:extLst>
                    <c:numCache>
                      <c:formatCode>General</c:formatCode>
                      <c:ptCount val="3"/>
                      <c:pt idx="0">
                        <c:v>132.522222222222</c:v>
                      </c:pt>
                      <c:pt idx="1">
                        <c:v>95.6847838355180</c:v>
                      </c:pt>
                      <c:pt idx="2">
                        <c:v>175279.535734826</c:v>
                      </c:pt>
                    </c:numCache>
                  </c:numRef>
                </c:val>
              </c15:ser>
            </c15:filteredBarSeries>
            <c15:filteredBarSeries>
              <c15:ser>
                <c:idx val="2"/>
                <c:order val="2"/>
                <c:tx>
                  <c:strRef>
                    <c:extLst>
                      <c:ext xmlns:c15="http://schemas.microsoft.com/office/drawing/2012/chart" uri="{02D57815-91ED-43cb-92C2-25804820EDAC}">
                        <c15:formulaRef>
                          <c15:sqref>'Primeras Hipotesis'!$N$808:$N$910</c15:sqref>
                        </c15:formulaRef>
                      </c:ext>
                    </c:extLst>
                    <c:strCache>
                      <c:ptCount val="103"/>
                      <c:pt idx="0">
                        <c:v>Maritima</c:v>
                      </c:pt>
                      <c:pt idx="33">
                        <c:v>CIF</c:v>
                      </c:pt>
                    </c:strCache>
                  </c:strRef>
                </c:tx>
                <c:spPr>
                  <a:solidFill>
                    <a:schemeClr val="accent3"/>
                  </a:solidFill>
                  <a:ln>
                    <a:noFill/>
                  </a:ln>
                  <a:effectLst/>
                </c:spPr>
                <c:invertIfNegative val="0"/>
                <c:cat>
                  <c:strRef>
                    <c:extLst>
                      <c:ext xmlns:c15="http://schemas.microsoft.com/office/drawing/2012/chart" uri="{02D57815-91ED-43cb-92C2-25804820EDAC}">
                        <c15:formulaRef>
                          <c15:sqref>'Primeras Hipotesis'!$K$911:$K$1212</c15:sqref>
                        </c15:formulaRef>
                      </c:ext>
                    </c:extLst>
                    <c:strCache>
                      <c:ptCount val="3"/>
                      <c:pt idx="0">
                        <c:v>Media</c:v>
                      </c:pt>
                      <c:pt idx="1">
                        <c:v>Desv Estandar</c:v>
                      </c:pt>
                      <c:pt idx="2">
                        <c:v>Varianza</c:v>
                      </c:pt>
                    </c:strCache>
                  </c:strRef>
                </c:cat>
                <c:val>
                  <c:numRef>
                    <c:extLst>
                      <c:ext xmlns:c15="http://schemas.microsoft.com/office/drawing/2012/chart" uri="{02D57815-91ED-43cb-92C2-25804820EDAC}">
                        <c15:formulaRef>
                          <c15:sqref>'Primeras Hipotesis'!$N$911:$N$1212</c15:sqref>
                        </c15:formulaRef>
                      </c:ext>
                    </c:extLst>
                    <c:numCache>
                      <c:formatCode>General</c:formatCode>
                      <c:ptCount val="3"/>
                      <c:pt idx="0">
                        <c:v>73282.2273534636</c:v>
                      </c:pt>
                      <c:pt idx="1">
                        <c:v>21537.7593943238</c:v>
                      </c:pt>
                      <c:pt idx="2">
                        <c:v>463006399.803199</c:v>
                      </c:pt>
                    </c:numCache>
                  </c:numRef>
                </c:val>
              </c15:ser>
            </c15:filteredBarSeries>
            <c15:filteredBarSeries>
              <c15:ser>
                <c:idx val="3"/>
                <c:order val="3"/>
                <c:tx>
                  <c:strRef>
                    <c:extLst>
                      <c:ext xmlns:c15="http://schemas.microsoft.com/office/drawing/2012/chart" uri="{02D57815-91ED-43cb-92C2-25804820EDAC}">
                        <c15:formulaRef>
                          <c15:sqref>'Primeras Hipotesis'!$O$808:$O$910</c15:sqref>
                        </c15:formulaRef>
                      </c:ext>
                    </c:extLst>
                    <c:strCache>
                      <c:ptCount val="103"/>
                      <c:pt idx="0">
                        <c:v>Maritima</c:v>
                      </c:pt>
                      <c:pt idx="33">
                        <c:v>Peso Neto</c:v>
                      </c:pt>
                    </c:strCache>
                  </c:strRef>
                </c:tx>
                <c:spPr>
                  <a:solidFill>
                    <a:schemeClr val="accent4"/>
                  </a:solidFill>
                  <a:ln>
                    <a:noFill/>
                  </a:ln>
                  <a:effectLst/>
                </c:spPr>
                <c:invertIfNegative val="0"/>
                <c:cat>
                  <c:strRef>
                    <c:extLst>
                      <c:ext xmlns:c15="http://schemas.microsoft.com/office/drawing/2012/chart" uri="{02D57815-91ED-43cb-92C2-25804820EDAC}">
                        <c15:formulaRef>
                          <c15:sqref>'Primeras Hipotesis'!$K$911:$K$1212</c15:sqref>
                        </c15:formulaRef>
                      </c:ext>
                    </c:extLst>
                    <c:strCache>
                      <c:ptCount val="3"/>
                      <c:pt idx="0">
                        <c:v>Media</c:v>
                      </c:pt>
                      <c:pt idx="1">
                        <c:v>Desv Estandar</c:v>
                      </c:pt>
                      <c:pt idx="2">
                        <c:v>Varianza</c:v>
                      </c:pt>
                    </c:strCache>
                  </c:strRef>
                </c:cat>
                <c:val>
                  <c:numRef>
                    <c:extLst>
                      <c:ext xmlns:c15="http://schemas.microsoft.com/office/drawing/2012/chart" uri="{02D57815-91ED-43cb-92C2-25804820EDAC}">
                        <c15:formulaRef>
                          <c15:sqref>'Primeras Hipotesis'!$O$911:$O$1212</c15:sqref>
                        </c15:formulaRef>
                      </c:ext>
                    </c:extLst>
                    <c:numCache>
                      <c:formatCode>General</c:formatCode>
                      <c:ptCount val="3"/>
                      <c:pt idx="0">
                        <c:v>596.612994350282</c:v>
                      </c:pt>
                      <c:pt idx="1">
                        <c:v>1488.84896137081</c:v>
                      </c:pt>
                      <c:pt idx="2">
                        <c:v>116204216.681171</c:v>
                      </c:pt>
                    </c:numCache>
                  </c:numRef>
                </c:val>
              </c15:ser>
            </c15:filteredBarSeries>
            <c15:filteredBarSeries>
              <c15:ser>
                <c:idx val="4"/>
                <c:order val="4"/>
                <c:tx>
                  <c:strRef>
                    <c:extLst>
                      <c:ext xmlns:c15="http://schemas.microsoft.com/office/drawing/2012/chart" uri="{02D57815-91ED-43cb-92C2-25804820EDAC}">
                        <c15:formulaRef>
                          <c15:sqref>'Primeras Hipotesis'!$P$808:$P$910</c15:sqref>
                        </c15:formulaRef>
                      </c:ext>
                    </c:extLst>
                    <c:strCache>
                      <c:ptCount val="103"/>
                      <c:pt idx="0">
                        <c:v>Terrestre</c:v>
                      </c:pt>
                      <c:pt idx="33">
                        <c:v>CIF</c:v>
                      </c:pt>
                    </c:strCache>
                  </c:strRef>
                </c:tx>
                <c:spPr>
                  <a:solidFill>
                    <a:schemeClr val="accent5"/>
                  </a:solidFill>
                  <a:ln>
                    <a:noFill/>
                  </a:ln>
                  <a:effectLst/>
                </c:spPr>
                <c:invertIfNegative val="0"/>
                <c:cat>
                  <c:strRef>
                    <c:extLst>
                      <c:ext xmlns:c15="http://schemas.microsoft.com/office/drawing/2012/chart" uri="{02D57815-91ED-43cb-92C2-25804820EDAC}">
                        <c15:formulaRef>
                          <c15:sqref>'Primeras Hipotesis'!$K$911:$K$1212</c15:sqref>
                        </c15:formulaRef>
                      </c:ext>
                    </c:extLst>
                    <c:strCache>
                      <c:ptCount val="3"/>
                      <c:pt idx="0">
                        <c:v>Media</c:v>
                      </c:pt>
                      <c:pt idx="1">
                        <c:v>Desv Estandar</c:v>
                      </c:pt>
                      <c:pt idx="2">
                        <c:v>Varianza</c:v>
                      </c:pt>
                    </c:strCache>
                  </c:strRef>
                </c:cat>
                <c:val>
                  <c:numRef>
                    <c:extLst>
                      <c:ext xmlns:c15="http://schemas.microsoft.com/office/drawing/2012/chart" uri="{02D57815-91ED-43cb-92C2-25804820EDAC}">
                        <c15:formulaRef>
                          <c15:sqref>'Primeras Hipotesis'!$P$911:$P$1212</c15:sqref>
                        </c15:formulaRef>
                      </c:ext>
                    </c:extLst>
                    <c:numCache>
                      <c:formatCode>General</c:formatCode>
                      <c:ptCount val="3"/>
                      <c:pt idx="0">
                        <c:v>9269.55555555556</c:v>
                      </c:pt>
                      <c:pt idx="1">
                        <c:v>6998.75272199741</c:v>
                      </c:pt>
                      <c:pt idx="2">
                        <c:v>48890812.0612998</c:v>
                      </c:pt>
                    </c:numCache>
                  </c:numRef>
                </c:val>
              </c15:ser>
            </c15:filteredBarSeries>
            <c15:filteredBarSeries>
              <c15:ser>
                <c:idx val="5"/>
                <c:order val="5"/>
                <c:tx>
                  <c:strRef>
                    <c:extLst>
                      <c:ext xmlns:c15="http://schemas.microsoft.com/office/drawing/2012/chart" uri="{02D57815-91ED-43cb-92C2-25804820EDAC}">
                        <c15:formulaRef>
                          <c15:sqref>'Primeras Hipotesis'!$Q$808:$Q$910</c15:sqref>
                        </c15:formulaRef>
                      </c:ext>
                    </c:extLst>
                    <c:strCache>
                      <c:ptCount val="103"/>
                      <c:pt idx="0">
                        <c:v>Terrestre</c:v>
                      </c:pt>
                      <c:pt idx="33">
                        <c:v>Peso Neto</c:v>
                      </c:pt>
                    </c:strCache>
                  </c:strRef>
                </c:tx>
                <c:spPr>
                  <a:solidFill>
                    <a:schemeClr val="accent6"/>
                  </a:solidFill>
                  <a:ln>
                    <a:noFill/>
                  </a:ln>
                  <a:effectLst/>
                </c:spPr>
                <c:invertIfNegative val="0"/>
                <c:cat>
                  <c:strRef>
                    <c:extLst>
                      <c:ext xmlns:c15="http://schemas.microsoft.com/office/drawing/2012/chart" uri="{02D57815-91ED-43cb-92C2-25804820EDAC}">
                        <c15:formulaRef>
                          <c15:sqref>'Primeras Hipotesis'!$K$911:$K$1212</c15:sqref>
                        </c15:formulaRef>
                      </c:ext>
                    </c:extLst>
                    <c:strCache>
                      <c:ptCount val="3"/>
                      <c:pt idx="0">
                        <c:v>Media</c:v>
                      </c:pt>
                      <c:pt idx="1">
                        <c:v>Desv Estandar</c:v>
                      </c:pt>
                      <c:pt idx="2">
                        <c:v>Varianza</c:v>
                      </c:pt>
                    </c:strCache>
                  </c:strRef>
                </c:cat>
                <c:val>
                  <c:numRef>
                    <c:extLst>
                      <c:ext xmlns:c15="http://schemas.microsoft.com/office/drawing/2012/chart" uri="{02D57815-91ED-43cb-92C2-25804820EDAC}">
                        <c15:formulaRef>
                          <c15:sqref>'Primeras Hipotesis'!$Q$911:$Q$1212</c15:sqref>
                        </c15:formulaRef>
                      </c:ext>
                    </c:extLst>
                    <c:numCache>
                      <c:formatCode>General</c:formatCode>
                      <c:ptCount val="3"/>
                      <c:pt idx="0">
                        <c:v>634.222222222222</c:v>
                      </c:pt>
                      <c:pt idx="1">
                        <c:v>446.507606418772</c:v>
                      </c:pt>
                      <c:pt idx="2">
                        <c:v>73553583.6874132</c:v>
                      </c:pt>
                    </c:numCache>
                  </c:numRef>
                </c:val>
              </c15:ser>
            </c15:filteredBarSeries>
          </c:ext>
        </c:extLst>
      </c:barChart>
      <c:catAx>
        <c:axId val="525587552"/>
        <c:scaling>
          <c:orientation val="minMax"/>
        </c:scaling>
        <c:delete val="1"/>
        <c:axPos val="b"/>
        <c:numFmt formatCode="General" sourceLinked="1"/>
        <c:majorTickMark val="none"/>
        <c:minorTickMark val="none"/>
        <c:tickLblPos val="nextTo"/>
        <c:crossAx val="525590432"/>
        <c:crosses val="autoZero"/>
        <c:auto val="1"/>
        <c:lblAlgn val="ctr"/>
        <c:lblOffset val="100"/>
        <c:noMultiLvlLbl val="0"/>
      </c:catAx>
      <c:valAx>
        <c:axId val="5255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525587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[Importaciones por Arancel - Chocolate (version 2).xlsb]AñoMeses Vía CIF!TablaDinámica6</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'AñoMeses Vía CIF'!$B$3:$B$4</c:f>
              <c:strCache>
                <c:ptCount val="1"/>
                <c:pt idx="0">
                  <c:v>Áerea</c:v>
                </c:pt>
              </c:strCache>
            </c:strRef>
          </c:tx>
          <c:spPr>
            <a:solidFill>
              <a:schemeClr val="accent1"/>
            </a:solidFill>
            <a:ln>
              <a:noFill/>
            </a:ln>
            <a:effectLst/>
          </c:spPr>
          <c:invertIfNegative val="0"/>
          <c:cat>
            <c:multiLvlStrRef>
              <c:f>'AñoMeses Vía CIF'!$A$5:$A$18</c:f>
              <c:multiLvlStrCache>
                <c:ptCount val="12"/>
                <c:lvl>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lvl>
                <c:lvl>
                  <c:pt idx="0">
                    <c:v>2017</c:v>
                  </c:pt>
                </c:lvl>
              </c:multiLvlStrCache>
            </c:multiLvlStrRef>
          </c:cat>
          <c:val>
            <c:numRef>
              <c:f>'AñoMeses Vía CIF'!$B$5:$B$18</c:f>
              <c:numCache>
                <c:formatCode>General</c:formatCode>
                <c:ptCount val="12"/>
                <c:pt idx="0">
                  <c:v>24520.0</c:v>
                </c:pt>
                <c:pt idx="1">
                  <c:v>3762.0</c:v>
                </c:pt>
                <c:pt idx="2">
                  <c:v>1408.0</c:v>
                </c:pt>
                <c:pt idx="4">
                  <c:v>1021.0</c:v>
                </c:pt>
                <c:pt idx="5">
                  <c:v>1814.0</c:v>
                </c:pt>
                <c:pt idx="7">
                  <c:v>89.0</c:v>
                </c:pt>
                <c:pt idx="9">
                  <c:v>8120.0</c:v>
                </c:pt>
                <c:pt idx="11">
                  <c:v>3019.0</c:v>
                </c:pt>
              </c:numCache>
            </c:numRef>
          </c:val>
        </c:ser>
        <c:ser>
          <c:idx val="1"/>
          <c:order val="1"/>
          <c:tx>
            <c:strRef>
              <c:f>'AñoMeses Vía CIF'!$C$3:$C$4</c:f>
              <c:strCache>
                <c:ptCount val="1"/>
                <c:pt idx="0">
                  <c:v>Marítima</c:v>
                </c:pt>
              </c:strCache>
            </c:strRef>
          </c:tx>
          <c:spPr>
            <a:solidFill>
              <a:schemeClr val="accent2"/>
            </a:solidFill>
            <a:ln>
              <a:noFill/>
            </a:ln>
            <a:effectLst/>
          </c:spPr>
          <c:invertIfNegative val="0"/>
          <c:cat>
            <c:multiLvlStrRef>
              <c:f>'AñoMeses Vía CIF'!$A$5:$A$18</c:f>
              <c:multiLvlStrCache>
                <c:ptCount val="12"/>
                <c:lvl>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lvl>
                <c:lvl>
                  <c:pt idx="0">
                    <c:v>2017</c:v>
                  </c:pt>
                </c:lvl>
              </c:multiLvlStrCache>
            </c:multiLvlStrRef>
          </c:cat>
          <c:val>
            <c:numRef>
              <c:f>'AñoMeses Vía CIF'!$C$5:$C$18</c:f>
              <c:numCache>
                <c:formatCode>General</c:formatCode>
                <c:ptCount val="12"/>
                <c:pt idx="0">
                  <c:v>128365.0</c:v>
                </c:pt>
                <c:pt idx="1">
                  <c:v>1697790.0</c:v>
                </c:pt>
                <c:pt idx="2">
                  <c:v>1763610.0</c:v>
                </c:pt>
                <c:pt idx="3">
                  <c:v>1577657.0</c:v>
                </c:pt>
                <c:pt idx="4">
                  <c:v>1724940.0</c:v>
                </c:pt>
                <c:pt idx="5">
                  <c:v>1707672.0</c:v>
                </c:pt>
                <c:pt idx="6">
                  <c:v>1453605.0</c:v>
                </c:pt>
                <c:pt idx="7">
                  <c:v>1920212.0</c:v>
                </c:pt>
                <c:pt idx="8">
                  <c:v>1608343.0</c:v>
                </c:pt>
                <c:pt idx="9">
                  <c:v>1928832.0</c:v>
                </c:pt>
                <c:pt idx="10">
                  <c:v>1658132.0</c:v>
                </c:pt>
                <c:pt idx="11">
                  <c:v>1634796.0</c:v>
                </c:pt>
              </c:numCache>
            </c:numRef>
          </c:val>
        </c:ser>
        <c:ser>
          <c:idx val="2"/>
          <c:order val="2"/>
          <c:tx>
            <c:strRef>
              <c:f>'AñoMeses Vía CIF'!$D$3:$D$4</c:f>
              <c:strCache>
                <c:ptCount val="1"/>
                <c:pt idx="0">
                  <c:v>Terrestre</c:v>
                </c:pt>
              </c:strCache>
            </c:strRef>
          </c:tx>
          <c:spPr>
            <a:solidFill>
              <a:schemeClr val="accent3"/>
            </a:solidFill>
            <a:ln>
              <a:noFill/>
            </a:ln>
            <a:effectLst/>
          </c:spPr>
          <c:invertIfNegative val="0"/>
          <c:cat>
            <c:multiLvlStrRef>
              <c:f>'AñoMeses Vía CIF'!$A$5:$A$18</c:f>
              <c:multiLvlStrCache>
                <c:ptCount val="12"/>
                <c:lvl>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lvl>
                <c:lvl>
                  <c:pt idx="0">
                    <c:v>2017</c:v>
                  </c:pt>
                </c:lvl>
              </c:multiLvlStrCache>
            </c:multiLvlStrRef>
          </c:cat>
          <c:val>
            <c:numRef>
              <c:f>'AñoMeses Vía CIF'!$D$5:$D$18</c:f>
              <c:numCache>
                <c:formatCode>General</c:formatCode>
                <c:ptCount val="12"/>
                <c:pt idx="0">
                  <c:v>35950.0</c:v>
                </c:pt>
                <c:pt idx="1">
                  <c:v>9863.0</c:v>
                </c:pt>
                <c:pt idx="2">
                  <c:v>162209.0</c:v>
                </c:pt>
                <c:pt idx="3">
                  <c:v>64026.0</c:v>
                </c:pt>
                <c:pt idx="4">
                  <c:v>78446.0</c:v>
                </c:pt>
                <c:pt idx="5">
                  <c:v>85472.0</c:v>
                </c:pt>
                <c:pt idx="6">
                  <c:v>91262.0</c:v>
                </c:pt>
                <c:pt idx="7">
                  <c:v>186459.0</c:v>
                </c:pt>
                <c:pt idx="8">
                  <c:v>120944.0</c:v>
                </c:pt>
                <c:pt idx="9">
                  <c:v>563590.0</c:v>
                </c:pt>
                <c:pt idx="10">
                  <c:v>303626.0</c:v>
                </c:pt>
                <c:pt idx="11">
                  <c:v>56723.0</c:v>
                </c:pt>
              </c:numCache>
            </c:numRef>
          </c:val>
        </c:ser>
        <c:dLbls>
          <c:showLegendKey val="0"/>
          <c:showVal val="0"/>
          <c:showCatName val="0"/>
          <c:showSerName val="0"/>
          <c:showPercent val="0"/>
          <c:showBubbleSize val="0"/>
        </c:dLbls>
        <c:gapWidth val="219"/>
        <c:overlap val="-27"/>
        <c:axId val="1069256431"/>
        <c:axId val="1069255951"/>
      </c:barChart>
      <c:catAx>
        <c:axId val="10692564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069255951"/>
        <c:crosses val="autoZero"/>
        <c:auto val="1"/>
        <c:lblAlgn val="ctr"/>
        <c:lblOffset val="100"/>
        <c:noMultiLvlLbl val="0"/>
      </c:catAx>
      <c:valAx>
        <c:axId val="10692559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06925643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[Importaciones por Arancel - Chocolate (version 2).xlsb]AñoMeses Vía CIF!TablaDinámica7</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'AñoMeses Vía CIF'!$B$22:$B$23</c:f>
              <c:strCache>
                <c:ptCount val="1"/>
                <c:pt idx="0">
                  <c:v>Áerea</c:v>
                </c:pt>
              </c:strCache>
            </c:strRef>
          </c:tx>
          <c:spPr>
            <a:solidFill>
              <a:schemeClr val="accent1"/>
            </a:solidFill>
            <a:ln>
              <a:noFill/>
            </a:ln>
            <a:effectLst/>
          </c:spPr>
          <c:invertIfNegative val="0"/>
          <c:cat>
            <c:multiLvlStrRef>
              <c:f>'AñoMeses Vía CIF'!$A$24:$A$37</c:f>
              <c:multiLvlStrCache>
                <c:ptCount val="12"/>
                <c:lvl>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lvl>
                <c:lvl>
                  <c:pt idx="0">
                    <c:v>2018</c:v>
                  </c:pt>
                </c:lvl>
              </c:multiLvlStrCache>
            </c:multiLvlStrRef>
          </c:cat>
          <c:val>
            <c:numRef>
              <c:f>'AñoMeses Vía CIF'!$B$24:$B$37</c:f>
              <c:numCache>
                <c:formatCode>General</c:formatCode>
                <c:ptCount val="12"/>
                <c:pt idx="0">
                  <c:v>13893.0</c:v>
                </c:pt>
                <c:pt idx="2">
                  <c:v>9160.0</c:v>
                </c:pt>
                <c:pt idx="3">
                  <c:v>2984.0</c:v>
                </c:pt>
                <c:pt idx="7">
                  <c:v>5691.0</c:v>
                </c:pt>
                <c:pt idx="8">
                  <c:v>6815.0</c:v>
                </c:pt>
                <c:pt idx="9">
                  <c:v>121.0</c:v>
                </c:pt>
                <c:pt idx="11">
                  <c:v>5605.0</c:v>
                </c:pt>
              </c:numCache>
            </c:numRef>
          </c:val>
        </c:ser>
        <c:ser>
          <c:idx val="1"/>
          <c:order val="1"/>
          <c:tx>
            <c:strRef>
              <c:f>'AñoMeses Vía CIF'!$C$22:$C$23</c:f>
              <c:strCache>
                <c:ptCount val="1"/>
                <c:pt idx="0">
                  <c:v>Marítima</c:v>
                </c:pt>
              </c:strCache>
            </c:strRef>
          </c:tx>
          <c:spPr>
            <a:solidFill>
              <a:schemeClr val="accent2"/>
            </a:solidFill>
            <a:ln>
              <a:noFill/>
            </a:ln>
            <a:effectLst/>
          </c:spPr>
          <c:invertIfNegative val="0"/>
          <c:cat>
            <c:multiLvlStrRef>
              <c:f>'AñoMeses Vía CIF'!$A$24:$A$37</c:f>
              <c:multiLvlStrCache>
                <c:ptCount val="12"/>
                <c:lvl>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lvl>
                <c:lvl>
                  <c:pt idx="0">
                    <c:v>2018</c:v>
                  </c:pt>
                </c:lvl>
              </c:multiLvlStrCache>
            </c:multiLvlStrRef>
          </c:cat>
          <c:val>
            <c:numRef>
              <c:f>'AñoMeses Vía CIF'!$C$24:$C$37</c:f>
              <c:numCache>
                <c:formatCode>General</c:formatCode>
                <c:ptCount val="12"/>
                <c:pt idx="0">
                  <c:v>1273266.0</c:v>
                </c:pt>
                <c:pt idx="1">
                  <c:v>1524621.0</c:v>
                </c:pt>
                <c:pt idx="2">
                  <c:v>1397636.0</c:v>
                </c:pt>
                <c:pt idx="3">
                  <c:v>362189.0</c:v>
                </c:pt>
                <c:pt idx="4">
                  <c:v>65137.0</c:v>
                </c:pt>
                <c:pt idx="5">
                  <c:v>85954.0</c:v>
                </c:pt>
                <c:pt idx="6">
                  <c:v>1251361.0</c:v>
                </c:pt>
                <c:pt idx="7">
                  <c:v>1892838.0</c:v>
                </c:pt>
                <c:pt idx="8">
                  <c:v>35478.0</c:v>
                </c:pt>
                <c:pt idx="9">
                  <c:v>1807693.0</c:v>
                </c:pt>
                <c:pt idx="10">
                  <c:v>1744884.0</c:v>
                </c:pt>
                <c:pt idx="11">
                  <c:v>1776725.0</c:v>
                </c:pt>
              </c:numCache>
            </c:numRef>
          </c:val>
        </c:ser>
        <c:ser>
          <c:idx val="2"/>
          <c:order val="2"/>
          <c:tx>
            <c:strRef>
              <c:f>'AñoMeses Vía CIF'!$D$22:$D$23</c:f>
              <c:strCache>
                <c:ptCount val="1"/>
                <c:pt idx="0">
                  <c:v>Terrestre</c:v>
                </c:pt>
              </c:strCache>
            </c:strRef>
          </c:tx>
          <c:spPr>
            <a:solidFill>
              <a:schemeClr val="accent3"/>
            </a:solidFill>
            <a:ln>
              <a:noFill/>
            </a:ln>
            <a:effectLst/>
          </c:spPr>
          <c:invertIfNegative val="0"/>
          <c:cat>
            <c:multiLvlStrRef>
              <c:f>'AñoMeses Vía CIF'!$A$24:$A$37</c:f>
              <c:multiLvlStrCache>
                <c:ptCount val="12"/>
                <c:lvl>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lvl>
                <c:lvl>
                  <c:pt idx="0">
                    <c:v>2018</c:v>
                  </c:pt>
                </c:lvl>
              </c:multiLvlStrCache>
            </c:multiLvlStrRef>
          </c:cat>
          <c:val>
            <c:numRef>
              <c:f>'AñoMeses Vía CIF'!$D$24:$D$37</c:f>
              <c:numCache>
                <c:formatCode>General</c:formatCode>
                <c:ptCount val="12"/>
                <c:pt idx="0">
                  <c:v>101185.0</c:v>
                </c:pt>
                <c:pt idx="1">
                  <c:v>76602.0</c:v>
                </c:pt>
                <c:pt idx="2">
                  <c:v>44003.0</c:v>
                </c:pt>
                <c:pt idx="3">
                  <c:v>116926.0</c:v>
                </c:pt>
                <c:pt idx="4">
                  <c:v>17633.0</c:v>
                </c:pt>
                <c:pt idx="5">
                  <c:v>71636.0</c:v>
                </c:pt>
                <c:pt idx="6">
                  <c:v>114074.0</c:v>
                </c:pt>
                <c:pt idx="7">
                  <c:v>58035.0</c:v>
                </c:pt>
                <c:pt idx="8">
                  <c:v>90112.0</c:v>
                </c:pt>
                <c:pt idx="9">
                  <c:v>647826.0</c:v>
                </c:pt>
                <c:pt idx="10">
                  <c:v>168536.0</c:v>
                </c:pt>
                <c:pt idx="11">
                  <c:v>87163.0</c:v>
                </c:pt>
              </c:numCache>
            </c:numRef>
          </c:val>
        </c:ser>
        <c:dLbls>
          <c:showLegendKey val="0"/>
          <c:showVal val="0"/>
          <c:showCatName val="0"/>
          <c:showSerName val="0"/>
          <c:showPercent val="0"/>
          <c:showBubbleSize val="0"/>
        </c:dLbls>
        <c:gapWidth val="219"/>
        <c:overlap val="-27"/>
        <c:axId val="1474606991"/>
        <c:axId val="1474608431"/>
      </c:barChart>
      <c:catAx>
        <c:axId val="14746069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474608431"/>
        <c:crosses val="autoZero"/>
        <c:auto val="1"/>
        <c:lblAlgn val="ctr"/>
        <c:lblOffset val="100"/>
        <c:noMultiLvlLbl val="0"/>
      </c:catAx>
      <c:valAx>
        <c:axId val="14746084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47460699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[Importaciones por Arancel - Chocolate (version 2).xlsb]AñoMeses Vía CIF!TablaDinámica8</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'AñoMeses Vía CIF'!$B$41:$B$42</c:f>
              <c:strCache>
                <c:ptCount val="1"/>
                <c:pt idx="0">
                  <c:v>Áerea</c:v>
                </c:pt>
              </c:strCache>
            </c:strRef>
          </c:tx>
          <c:spPr>
            <a:solidFill>
              <a:schemeClr val="accent1"/>
            </a:solidFill>
            <a:ln>
              <a:noFill/>
            </a:ln>
            <a:effectLst/>
          </c:spPr>
          <c:invertIfNegative val="0"/>
          <c:cat>
            <c:multiLvlStrRef>
              <c:f>'AñoMeses Vía CIF'!$A$43:$A$56</c:f>
              <c:multiLvlStrCache>
                <c:ptCount val="12"/>
                <c:lvl>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lvl>
                <c:lvl>
                  <c:pt idx="0">
                    <c:v>2019</c:v>
                  </c:pt>
                </c:lvl>
              </c:multiLvlStrCache>
            </c:multiLvlStrRef>
          </c:cat>
          <c:val>
            <c:numRef>
              <c:f>'AñoMeses Vía CIF'!$B$43:$B$56</c:f>
              <c:numCache>
                <c:formatCode>General</c:formatCode>
                <c:ptCount val="12"/>
                <c:pt idx="0">
                  <c:v>1267.0</c:v>
                </c:pt>
                <c:pt idx="2">
                  <c:v>4260.0</c:v>
                </c:pt>
                <c:pt idx="3">
                  <c:v>1728.0</c:v>
                </c:pt>
                <c:pt idx="4">
                  <c:v>1400.0</c:v>
                </c:pt>
                <c:pt idx="6">
                  <c:v>3209.0</c:v>
                </c:pt>
                <c:pt idx="7">
                  <c:v>6021.0</c:v>
                </c:pt>
                <c:pt idx="8">
                  <c:v>119.0</c:v>
                </c:pt>
                <c:pt idx="9">
                  <c:v>1868.0</c:v>
                </c:pt>
                <c:pt idx="10">
                  <c:v>219.0</c:v>
                </c:pt>
                <c:pt idx="11">
                  <c:v>2597.0</c:v>
                </c:pt>
              </c:numCache>
            </c:numRef>
          </c:val>
        </c:ser>
        <c:ser>
          <c:idx val="1"/>
          <c:order val="1"/>
          <c:tx>
            <c:strRef>
              <c:f>'AñoMeses Vía CIF'!$C$41:$C$42</c:f>
              <c:strCache>
                <c:ptCount val="1"/>
                <c:pt idx="0">
                  <c:v>Marítima</c:v>
                </c:pt>
              </c:strCache>
            </c:strRef>
          </c:tx>
          <c:spPr>
            <a:solidFill>
              <a:schemeClr val="accent2"/>
            </a:solidFill>
            <a:ln>
              <a:noFill/>
            </a:ln>
            <a:effectLst/>
          </c:spPr>
          <c:invertIfNegative val="0"/>
          <c:cat>
            <c:multiLvlStrRef>
              <c:f>'AñoMeses Vía CIF'!$A$43:$A$56</c:f>
              <c:multiLvlStrCache>
                <c:ptCount val="12"/>
                <c:lvl>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lvl>
                <c:lvl>
                  <c:pt idx="0">
                    <c:v>2019</c:v>
                  </c:pt>
                </c:lvl>
              </c:multiLvlStrCache>
            </c:multiLvlStrRef>
          </c:cat>
          <c:val>
            <c:numRef>
              <c:f>'AñoMeses Vía CIF'!$C$43:$C$56</c:f>
              <c:numCache>
                <c:formatCode>General</c:formatCode>
                <c:ptCount val="12"/>
                <c:pt idx="0">
                  <c:v>326854.0</c:v>
                </c:pt>
                <c:pt idx="1">
                  <c:v>1749203.0</c:v>
                </c:pt>
                <c:pt idx="2">
                  <c:v>1529932.0</c:v>
                </c:pt>
                <c:pt idx="3">
                  <c:v>261677.0</c:v>
                </c:pt>
                <c:pt idx="4">
                  <c:v>275317.0</c:v>
                </c:pt>
                <c:pt idx="5">
                  <c:v>963446.0</c:v>
                </c:pt>
                <c:pt idx="6">
                  <c:v>979596.0</c:v>
                </c:pt>
                <c:pt idx="7">
                  <c:v>112096.0</c:v>
                </c:pt>
                <c:pt idx="8">
                  <c:v>638434.0</c:v>
                </c:pt>
                <c:pt idx="9">
                  <c:v>1258908.0</c:v>
                </c:pt>
                <c:pt idx="10">
                  <c:v>679000.0</c:v>
                </c:pt>
                <c:pt idx="11">
                  <c:v>461695.0</c:v>
                </c:pt>
              </c:numCache>
            </c:numRef>
          </c:val>
        </c:ser>
        <c:ser>
          <c:idx val="2"/>
          <c:order val="2"/>
          <c:tx>
            <c:strRef>
              <c:f>'AñoMeses Vía CIF'!$D$41:$D$42</c:f>
              <c:strCache>
                <c:ptCount val="1"/>
                <c:pt idx="0">
                  <c:v>Terrestre</c:v>
                </c:pt>
              </c:strCache>
            </c:strRef>
          </c:tx>
          <c:spPr>
            <a:solidFill>
              <a:schemeClr val="accent3"/>
            </a:solidFill>
            <a:ln>
              <a:noFill/>
            </a:ln>
            <a:effectLst/>
          </c:spPr>
          <c:invertIfNegative val="0"/>
          <c:cat>
            <c:multiLvlStrRef>
              <c:f>'AñoMeses Vía CIF'!$A$43:$A$56</c:f>
              <c:multiLvlStrCache>
                <c:ptCount val="12"/>
                <c:lvl>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lvl>
                <c:lvl>
                  <c:pt idx="0">
                    <c:v>2019</c:v>
                  </c:pt>
                </c:lvl>
              </c:multiLvlStrCache>
            </c:multiLvlStrRef>
          </c:cat>
          <c:val>
            <c:numRef>
              <c:f>'AñoMeses Vía CIF'!$D$43:$D$56</c:f>
              <c:numCache>
                <c:formatCode>General</c:formatCode>
                <c:ptCount val="12"/>
                <c:pt idx="0">
                  <c:v>20856.0</c:v>
                </c:pt>
                <c:pt idx="1">
                  <c:v>27887.0</c:v>
                </c:pt>
                <c:pt idx="2">
                  <c:v>110711.0</c:v>
                </c:pt>
                <c:pt idx="3">
                  <c:v>92882.0</c:v>
                </c:pt>
                <c:pt idx="4">
                  <c:v>131134.0</c:v>
                </c:pt>
                <c:pt idx="5">
                  <c:v>51989.0</c:v>
                </c:pt>
                <c:pt idx="6">
                  <c:v>143924.0</c:v>
                </c:pt>
                <c:pt idx="7">
                  <c:v>188821.0</c:v>
                </c:pt>
                <c:pt idx="8">
                  <c:v>77947.0</c:v>
                </c:pt>
                <c:pt idx="9">
                  <c:v>719218.0</c:v>
                </c:pt>
                <c:pt idx="10">
                  <c:v>69140.0</c:v>
                </c:pt>
                <c:pt idx="11">
                  <c:v>146872.0</c:v>
                </c:pt>
              </c:numCache>
            </c:numRef>
          </c:val>
        </c:ser>
        <c:dLbls>
          <c:showLegendKey val="0"/>
          <c:showVal val="0"/>
          <c:showCatName val="0"/>
          <c:showSerName val="0"/>
          <c:showPercent val="0"/>
          <c:showBubbleSize val="0"/>
        </c:dLbls>
        <c:gapWidth val="219"/>
        <c:overlap val="-27"/>
        <c:axId val="1084842111"/>
        <c:axId val="1084844031"/>
      </c:barChart>
      <c:catAx>
        <c:axId val="10848421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084844031"/>
        <c:crosses val="autoZero"/>
        <c:auto val="1"/>
        <c:lblAlgn val="ctr"/>
        <c:lblOffset val="100"/>
        <c:noMultiLvlLbl val="0"/>
      </c:catAx>
      <c:valAx>
        <c:axId val="10848440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08484211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[Importaciones por Arancel - Chocolate (version 2).xlsb]Correlación!TablaDinámica15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CIF</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Correlación!$E$3</c:f>
              <c:strCache>
                <c:ptCount val="1"/>
                <c:pt idx="0">
                  <c:v>Total</c:v>
                </c:pt>
              </c:strCache>
            </c:strRef>
          </c:tx>
          <c:spPr>
            <a:solidFill>
              <a:schemeClr val="accent1"/>
            </a:solidFill>
            <a:ln>
              <a:noFill/>
            </a:ln>
            <a:effectLst/>
          </c:spPr>
          <c:invertIfNegative val="0"/>
          <c:cat>
            <c:strRef>
              <c:f>Correlación!$D$4:$D$7</c:f>
              <c:strCache>
                <c:ptCount val="3"/>
                <c:pt idx="0">
                  <c:v>2017</c:v>
                </c:pt>
                <c:pt idx="1">
                  <c:v>2018</c:v>
                </c:pt>
                <c:pt idx="2">
                  <c:v>2019</c:v>
                </c:pt>
              </c:strCache>
            </c:strRef>
          </c:cat>
          <c:val>
            <c:numRef>
              <c:f>Correlación!$E$4:$E$7</c:f>
              <c:numCache>
                <c:formatCode>General</c:formatCode>
                <c:ptCount val="3"/>
                <c:pt idx="0">
                  <c:v>2900065.0</c:v>
                </c:pt>
                <c:pt idx="1">
                  <c:v>2046333.0</c:v>
                </c:pt>
                <c:pt idx="2">
                  <c:v>1520496.0</c:v>
                </c:pt>
              </c:numCache>
            </c:numRef>
          </c:val>
        </c:ser>
        <c:dLbls>
          <c:showLegendKey val="0"/>
          <c:showVal val="0"/>
          <c:showCatName val="0"/>
          <c:showSerName val="0"/>
          <c:showPercent val="0"/>
          <c:showBubbleSize val="0"/>
        </c:dLbls>
        <c:gapWidth val="219"/>
        <c:overlap val="-27"/>
        <c:axId val="255180127"/>
        <c:axId val="255178207"/>
      </c:barChart>
      <c:catAx>
        <c:axId val="2551801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255178207"/>
        <c:crosses val="autoZero"/>
        <c:auto val="1"/>
        <c:lblAlgn val="ctr"/>
        <c:lblOffset val="100"/>
        <c:noMultiLvlLbl val="0"/>
      </c:catAx>
      <c:valAx>
        <c:axId val="255178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25518012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[Importaciones por Arancel - Chocolate 2.xlsx]Correlación!TablaDinámica14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Peso</a:t>
            </a:r>
            <a:r>
              <a:rPr lang="en-US" baseline="0"/>
              <a:t> Neto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Correlación!$B$3</c:f>
              <c:strCache>
                <c:ptCount val="1"/>
                <c:pt idx="0">
                  <c:v>Total</c:v>
                </c:pt>
              </c:strCache>
            </c:strRef>
          </c:tx>
          <c:spPr>
            <a:solidFill>
              <a:schemeClr val="accent1"/>
            </a:solidFill>
            <a:ln>
              <a:noFill/>
            </a:ln>
            <a:effectLst/>
          </c:spPr>
          <c:invertIfNegative val="0"/>
          <c:cat>
            <c:strRef>
              <c:f>Correlación!$A$4:$A$7</c:f>
              <c:strCache>
                <c:ptCount val="3"/>
                <c:pt idx="0">
                  <c:v>2017</c:v>
                </c:pt>
                <c:pt idx="1">
                  <c:v>2018</c:v>
                </c:pt>
                <c:pt idx="2">
                  <c:v>2019</c:v>
                </c:pt>
              </c:strCache>
            </c:strRef>
          </c:cat>
          <c:val>
            <c:numRef>
              <c:f>Correlación!$B$4:$B$7</c:f>
              <c:numCache>
                <c:formatCode>General</c:formatCode>
                <c:ptCount val="3"/>
                <c:pt idx="0">
                  <c:v>20606277</c:v>
                </c:pt>
                <c:pt idx="1">
                  <c:v>14855782</c:v>
                </c:pt>
                <c:pt idx="2">
                  <c:v>11040227</c:v>
                </c:pt>
              </c:numCache>
            </c:numRef>
          </c:val>
        </c:ser>
        <c:dLbls>
          <c:showLegendKey val="0"/>
          <c:showVal val="0"/>
          <c:showCatName val="0"/>
          <c:showSerName val="0"/>
          <c:showPercent val="0"/>
          <c:showBubbleSize val="0"/>
        </c:dLbls>
        <c:gapWidth val="219"/>
        <c:overlap val="-27"/>
        <c:axId val="255181087"/>
        <c:axId val="255179167"/>
      </c:barChart>
      <c:catAx>
        <c:axId val="255181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255179167"/>
        <c:crosses val="autoZero"/>
        <c:auto val="1"/>
        <c:lblAlgn val="ctr"/>
        <c:lblOffset val="100"/>
        <c:noMultiLvlLbl val="0"/>
      </c:catAx>
      <c:valAx>
        <c:axId val="2551791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25518108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A"/>
              <a:t>CIF / Peso Neto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Correlación!$B$12:$B$14</c:f>
              <c:numCache>
                <c:formatCode>General</c:formatCode>
                <c:ptCount val="3"/>
                <c:pt idx="0">
                  <c:v>2017.0</c:v>
                </c:pt>
                <c:pt idx="1">
                  <c:v>2018.0</c:v>
                </c:pt>
                <c:pt idx="2">
                  <c:v>2019.0</c:v>
                </c:pt>
              </c:numCache>
            </c:numRef>
          </c:cat>
          <c:val>
            <c:numRef>
              <c:f>Correlación!$C$12:$C$14</c:f>
              <c:numCache>
                <c:formatCode>General</c:formatCode>
                <c:ptCount val="3"/>
                <c:pt idx="0">
                  <c:v>8.13556179292020</c:v>
                </c:pt>
                <c:pt idx="1">
                  <c:v>8.81996569234633</c:v>
                </c:pt>
                <c:pt idx="2">
                  <c:v>8.95217635352350</c:v>
                </c:pt>
              </c:numCache>
            </c:numRef>
          </c:val>
        </c:ser>
        <c:dLbls>
          <c:showLegendKey val="0"/>
          <c:showVal val="1"/>
          <c:showCatName val="0"/>
          <c:showSerName val="0"/>
          <c:showPercent val="0"/>
          <c:showBubbleSize val="0"/>
        </c:dLbls>
        <c:gapWidth val="150"/>
        <c:overlap val="-25"/>
        <c:axId val="1077018047"/>
        <c:axId val="1077018527"/>
      </c:barChart>
      <c:catAx>
        <c:axId val="1077018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077018527"/>
        <c:crosses val="autoZero"/>
        <c:auto val="1"/>
        <c:lblAlgn val="ctr"/>
        <c:lblOffset val="100"/>
        <c:noMultiLvlLbl val="0"/>
      </c:catAx>
      <c:valAx>
        <c:axId val="1077018527"/>
        <c:scaling>
          <c:orientation val="minMax"/>
        </c:scaling>
        <c:delete val="1"/>
        <c:axPos val="l"/>
        <c:numFmt formatCode="General" sourceLinked="1"/>
        <c:majorTickMark val="none"/>
        <c:minorTickMark val="none"/>
        <c:tickLblPos val="nextTo"/>
        <c:crossAx val="107701804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[ExpoFrancasMuebles.xlsx]Zonas!TablaDinámica20</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Zonas!$B$3</c:f>
              <c:strCache>
                <c:ptCount val="1"/>
                <c:pt idx="0">
                  <c:v>Total</c:v>
                </c:pt>
              </c:strCache>
            </c:strRef>
          </c:tx>
          <c:spPr>
            <a:solidFill>
              <a:schemeClr val="accent1"/>
            </a:solidFill>
            <a:ln>
              <a:noFill/>
            </a:ln>
            <a:effectLst/>
          </c:spPr>
          <c:invertIfNegative val="0"/>
          <c:cat>
            <c:multiLvlStrRef>
              <c:f>Zonas!$A$4:$A$12</c:f>
              <c:multiLvlStrCache>
                <c:ptCount val="4"/>
                <c:lvl>
                  <c:pt idx="0">
                    <c:v>2019</c:v>
                  </c:pt>
                  <c:pt idx="1">
                    <c:v>2017</c:v>
                  </c:pt>
                  <c:pt idx="2">
                    <c:v>2018</c:v>
                  </c:pt>
                  <c:pt idx="3">
                    <c:v>2019</c:v>
                  </c:pt>
                </c:lvl>
                <c:lvl>
                  <c:pt idx="0">
                    <c:v>9404.90.19.00</c:v>
                  </c:pt>
                  <c:pt idx="1">
                    <c:v>9404.90.19.00</c:v>
                  </c:pt>
                </c:lvl>
                <c:lvl>
                  <c:pt idx="0">
                    <c:v>Albrook</c:v>
                  </c:pt>
                  <c:pt idx="1">
                    <c:v>Área Económica Especial Panamá Pacífico</c:v>
                  </c:pt>
                </c:lvl>
              </c:multiLvlStrCache>
            </c:multiLvlStrRef>
          </c:cat>
          <c:val>
            <c:numRef>
              <c:f>Zonas!$B$4:$B$12</c:f>
              <c:numCache>
                <c:formatCode>General</c:formatCode>
                <c:ptCount val="4"/>
                <c:pt idx="0">
                  <c:v>9.0</c:v>
                </c:pt>
                <c:pt idx="1">
                  <c:v>72422.0</c:v>
                </c:pt>
                <c:pt idx="2">
                  <c:v>63491.0</c:v>
                </c:pt>
                <c:pt idx="3">
                  <c:v>69416.0</c:v>
                </c:pt>
              </c:numCache>
            </c:numRef>
          </c:val>
        </c:ser>
        <c:dLbls>
          <c:showLegendKey val="0"/>
          <c:showVal val="0"/>
          <c:showCatName val="0"/>
          <c:showSerName val="0"/>
          <c:showPercent val="0"/>
          <c:showBubbleSize val="0"/>
        </c:dLbls>
        <c:gapWidth val="182"/>
        <c:axId val="1320025216"/>
        <c:axId val="1320031696"/>
      </c:barChart>
      <c:catAx>
        <c:axId val="13200252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20031696"/>
        <c:crosses val="autoZero"/>
        <c:auto val="1"/>
        <c:lblAlgn val="ctr"/>
        <c:lblOffset val="100"/>
        <c:noMultiLvlLbl val="0"/>
      </c:catAx>
      <c:valAx>
        <c:axId val="13200316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200252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[ExpoFrancasMuebles.xlsx]Zonas Pacifico!TablaDinámica20</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'Zonas Pacifico'!$B$3</c:f>
              <c:strCache>
                <c:ptCount val="1"/>
                <c:pt idx="0">
                  <c:v>Total</c:v>
                </c:pt>
              </c:strCache>
            </c:strRef>
          </c:tx>
          <c:spPr>
            <a:solidFill>
              <a:schemeClr val="accent1"/>
            </a:solidFill>
            <a:ln>
              <a:noFill/>
            </a:ln>
            <a:effectLst/>
          </c:spPr>
          <c:invertIfNegative val="0"/>
          <c:cat>
            <c:multiLvlStrRef>
              <c:f>'Zonas Pacifico'!$A$4:$A$9</c:f>
              <c:multiLvlStrCache>
                <c:ptCount val="3"/>
                <c:lvl>
                  <c:pt idx="0">
                    <c:v>2017</c:v>
                  </c:pt>
                  <c:pt idx="1">
                    <c:v>2018</c:v>
                  </c:pt>
                  <c:pt idx="2">
                    <c:v>2019</c:v>
                  </c:pt>
                </c:lvl>
                <c:lvl>
                  <c:pt idx="0">
                    <c:v>9404.90.19.00</c:v>
                  </c:pt>
                </c:lvl>
                <c:lvl>
                  <c:pt idx="0">
                    <c:v>Área Económica Especial Panamá Pacífico</c:v>
                  </c:pt>
                </c:lvl>
              </c:multiLvlStrCache>
            </c:multiLvlStrRef>
          </c:cat>
          <c:val>
            <c:numRef>
              <c:f>'Zonas Pacifico'!$B$4:$B$9</c:f>
              <c:numCache>
                <c:formatCode>General</c:formatCode>
                <c:ptCount val="3"/>
                <c:pt idx="0">
                  <c:v>72422.0</c:v>
                </c:pt>
                <c:pt idx="1">
                  <c:v>63491.0</c:v>
                </c:pt>
                <c:pt idx="2">
                  <c:v>69416.0</c:v>
                </c:pt>
              </c:numCache>
            </c:numRef>
          </c:val>
        </c:ser>
        <c:dLbls>
          <c:showLegendKey val="0"/>
          <c:showVal val="0"/>
          <c:showCatName val="0"/>
          <c:showSerName val="0"/>
          <c:showPercent val="0"/>
          <c:showBubbleSize val="0"/>
        </c:dLbls>
        <c:gapWidth val="219"/>
        <c:overlap val="-27"/>
        <c:axId val="929299112"/>
        <c:axId val="414473664"/>
      </c:barChart>
      <c:catAx>
        <c:axId val="929299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14473664"/>
        <c:crosses val="autoZero"/>
        <c:auto val="1"/>
        <c:lblAlgn val="ctr"/>
        <c:lblOffset val="100"/>
        <c:noMultiLvlLbl val="0"/>
      </c:catAx>
      <c:valAx>
        <c:axId val="414473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9292991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[PIB ANUAL POR CATEGORIAS EDITADO.xlsx]AGRICULTURA AÑO!TablaDinámica9</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'AGRICULTURA AÑO'!$B$1</c:f>
              <c:strCache>
                <c:ptCount val="1"/>
                <c:pt idx="0">
                  <c:v>Total</c:v>
                </c:pt>
              </c:strCache>
            </c:strRef>
          </c:tx>
          <c:spPr>
            <a:solidFill>
              <a:schemeClr val="accent1"/>
            </a:solidFill>
            <a:ln>
              <a:noFill/>
            </a:ln>
            <a:effectLst/>
          </c:spPr>
          <c:invertIfNegative val="0"/>
          <c:cat>
            <c:multiLvlStrRef>
              <c:f>'AGRICULTURA AÑO'!$A$2:$A$17</c:f>
              <c:multiLvlStrCache>
                <c:ptCount val="14"/>
                <c:lvl>
                  <c:pt idx="0">
                    <c:v>2008-2007</c:v>
                  </c:pt>
                  <c:pt idx="1">
                    <c:v>2009-2008</c:v>
                  </c:pt>
                  <c:pt idx="2">
                    <c:v>2010-2009</c:v>
                  </c:pt>
                  <c:pt idx="3">
                    <c:v>2011-2010</c:v>
                  </c:pt>
                  <c:pt idx="4">
                    <c:v>2012-2011</c:v>
                  </c:pt>
                  <c:pt idx="5">
                    <c:v>2013-2012</c:v>
                  </c:pt>
                  <c:pt idx="6">
                    <c:v>2014-2013</c:v>
                  </c:pt>
                  <c:pt idx="7">
                    <c:v>2015-2014</c:v>
                  </c:pt>
                  <c:pt idx="8">
                    <c:v>2016-2015</c:v>
                  </c:pt>
                  <c:pt idx="9">
                    <c:v>2017-2016</c:v>
                  </c:pt>
                  <c:pt idx="10">
                    <c:v>2018-2017</c:v>
                  </c:pt>
                  <c:pt idx="11">
                    <c:v>2019-2018</c:v>
                  </c:pt>
                  <c:pt idx="12">
                    <c:v>2020-2019</c:v>
                  </c:pt>
                  <c:pt idx="13">
                    <c:v>(en blanco)</c:v>
                  </c:pt>
                </c:lvl>
                <c:lvl>
                  <c:pt idx="0">
                    <c:v>A   AGRICULTURA, GANADERÍA, CAZA Y SILVICULTURA</c:v>
                  </c:pt>
                </c:lvl>
              </c:multiLvlStrCache>
            </c:multiLvlStrRef>
          </c:cat>
          <c:val>
            <c:numRef>
              <c:f>'AGRICULTURA AÑO'!$B$2:$B$17</c:f>
              <c:numCache>
                <c:formatCode>General</c:formatCode>
                <c:ptCount val="14"/>
                <c:pt idx="0">
                  <c:v>3.362233114</c:v>
                </c:pt>
                <c:pt idx="1">
                  <c:v>2.752557474</c:v>
                </c:pt>
                <c:pt idx="2">
                  <c:v>2.736045489</c:v>
                </c:pt>
                <c:pt idx="3">
                  <c:v>2.541356505</c:v>
                </c:pt>
                <c:pt idx="4">
                  <c:v>2.447210838</c:v>
                </c:pt>
                <c:pt idx="5">
                  <c:v>2.340131579</c:v>
                </c:pt>
                <c:pt idx="6">
                  <c:v>2.152379235</c:v>
                </c:pt>
                <c:pt idx="7">
                  <c:v>2.138405707</c:v>
                </c:pt>
                <c:pt idx="8">
                  <c:v>2.070709077</c:v>
                </c:pt>
                <c:pt idx="9">
                  <c:v>1.889467821</c:v>
                </c:pt>
                <c:pt idx="10">
                  <c:v>1.871571276</c:v>
                </c:pt>
                <c:pt idx="11">
                  <c:v>1.867151158</c:v>
                </c:pt>
                <c:pt idx="12">
                  <c:v>2.379532023</c:v>
                </c:pt>
                <c:pt idx="13">
                  <c:v>3.6452855</c:v>
                </c:pt>
              </c:numCache>
            </c:numRef>
          </c:val>
        </c:ser>
        <c:dLbls>
          <c:showLegendKey val="0"/>
          <c:showVal val="0"/>
          <c:showCatName val="0"/>
          <c:showSerName val="0"/>
          <c:showPercent val="0"/>
          <c:showBubbleSize val="0"/>
        </c:dLbls>
        <c:gapWidth val="219"/>
        <c:overlap val="-27"/>
        <c:axId val="1102474304"/>
        <c:axId val="1102472144"/>
      </c:barChart>
      <c:catAx>
        <c:axId val="1102474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102472144"/>
        <c:crosses val="autoZero"/>
        <c:auto val="1"/>
        <c:lblAlgn val="ctr"/>
        <c:lblOffset val="100"/>
        <c:noMultiLvlLbl val="0"/>
      </c:catAx>
      <c:valAx>
        <c:axId val="1102472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1024743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[ExpoFrancasMuebles.xlsx]FOB POR AÑO!TablaDinámica26</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'FOB POR AÑO'!$B$1</c:f>
              <c:strCache>
                <c:ptCount val="1"/>
                <c:pt idx="0">
                  <c:v>Total</c:v>
                </c:pt>
              </c:strCache>
            </c:strRef>
          </c:tx>
          <c:spPr>
            <a:solidFill>
              <a:schemeClr val="accent1"/>
            </a:solidFill>
            <a:ln>
              <a:noFill/>
            </a:ln>
            <a:effectLst/>
          </c:spPr>
          <c:invertIfNegative val="0"/>
          <c:cat>
            <c:multiLvlStrRef>
              <c:f>'FOB POR AÑO'!$A$2:$A$8</c:f>
              <c:multiLvlStrCache>
                <c:ptCount val="5"/>
                <c:lvl>
                  <c:pt idx="0">
                    <c:v>2012</c:v>
                  </c:pt>
                  <c:pt idx="1">
                    <c:v>2013</c:v>
                  </c:pt>
                  <c:pt idx="2">
                    <c:v>2014</c:v>
                  </c:pt>
                  <c:pt idx="3">
                    <c:v>2015</c:v>
                  </c:pt>
                  <c:pt idx="4">
                    <c:v>2016</c:v>
                  </c:pt>
                </c:lvl>
                <c:lvl>
                  <c:pt idx="0">
                    <c:v>9404.90.19</c:v>
                  </c:pt>
                </c:lvl>
              </c:multiLvlStrCache>
            </c:multiLvlStrRef>
          </c:cat>
          <c:val>
            <c:numRef>
              <c:f>'FOB POR AÑO'!$B$2:$B$8</c:f>
              <c:numCache>
                <c:formatCode>General</c:formatCode>
                <c:ptCount val="5"/>
                <c:pt idx="0">
                  <c:v>19689.0</c:v>
                </c:pt>
                <c:pt idx="1">
                  <c:v>20105.0</c:v>
                </c:pt>
                <c:pt idx="2">
                  <c:v>48223.0</c:v>
                </c:pt>
                <c:pt idx="3">
                  <c:v>142271.0</c:v>
                </c:pt>
                <c:pt idx="4">
                  <c:v>477660.0</c:v>
                </c:pt>
              </c:numCache>
            </c:numRef>
          </c:val>
        </c:ser>
        <c:dLbls>
          <c:showLegendKey val="0"/>
          <c:showVal val="0"/>
          <c:showCatName val="0"/>
          <c:showSerName val="0"/>
          <c:showPercent val="0"/>
          <c:showBubbleSize val="0"/>
        </c:dLbls>
        <c:gapWidth val="219"/>
        <c:overlap val="-27"/>
        <c:axId val="71414167"/>
        <c:axId val="71414527"/>
      </c:barChart>
      <c:catAx>
        <c:axId val="714141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71414527"/>
        <c:crosses val="autoZero"/>
        <c:auto val="1"/>
        <c:lblAlgn val="ctr"/>
        <c:lblOffset val="100"/>
        <c:noMultiLvlLbl val="0"/>
      </c:catAx>
      <c:valAx>
        <c:axId val="714145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7141416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Peso bruto vs Valor</a:t>
            </a:r>
            <a:r>
              <a:rPr lang="en-US" baseline="0"/>
              <a:t> FOB</a:t>
            </a:r>
            <a:endParaRPr lang="en-US"/>
          </a:p>
        </c:rich>
      </c:tx>
      <c:layout>
        <c:manualLayout>
          <c:xMode val="edge"/>
          <c:yMode val="edge"/>
          <c:x val="0.4035137795275591"/>
          <c:y val="0.032407407407407406"/>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lineMarker"/>
        <c:varyColors val="0"/>
        <c:ser>
          <c:idx val="0"/>
          <c:order val="0"/>
          <c:tx>
            <c:strRef>
              <c:f>'Valor FOB_CE_T_EZONASFRANCAS_da'!$G$1</c:f>
              <c:strCache>
                <c:ptCount val="1"/>
                <c:pt idx="0">
                  <c:v>Peso bruto</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trendlineLbl>
          </c:trendline>
          <c:xVal>
            <c:numRef>
              <c:f>'Valor FOB_CE_T_EZONASFRANCAS_da'!$F$2:$F$191081</c:f>
              <c:numCache>
                <c:formatCode>General</c:formatCode>
                <c:ptCount val="221"/>
                <c:pt idx="0">
                  <c:v>6085.0</c:v>
                </c:pt>
                <c:pt idx="1">
                  <c:v>3653.0</c:v>
                </c:pt>
                <c:pt idx="2">
                  <c:v>5099.0</c:v>
                </c:pt>
                <c:pt idx="3">
                  <c:v>15918.0</c:v>
                </c:pt>
                <c:pt idx="4">
                  <c:v>14778.0</c:v>
                </c:pt>
                <c:pt idx="5">
                  <c:v>28761.0</c:v>
                </c:pt>
                <c:pt idx="6">
                  <c:v>109690.0</c:v>
                </c:pt>
                <c:pt idx="7">
                  <c:v>10669.0</c:v>
                </c:pt>
                <c:pt idx="8">
                  <c:v>10244.0</c:v>
                </c:pt>
                <c:pt idx="9">
                  <c:v>1806.0</c:v>
                </c:pt>
                <c:pt idx="10">
                  <c:v>7374.0</c:v>
                </c:pt>
                <c:pt idx="11">
                  <c:v>203593.0</c:v>
                </c:pt>
                <c:pt idx="12">
                  <c:v>50297.0</c:v>
                </c:pt>
                <c:pt idx="13">
                  <c:v>49472.0</c:v>
                </c:pt>
                <c:pt idx="14">
                  <c:v>94000.0</c:v>
                </c:pt>
                <c:pt idx="15">
                  <c:v>68852.0</c:v>
                </c:pt>
                <c:pt idx="16">
                  <c:v>20945.0</c:v>
                </c:pt>
                <c:pt idx="17">
                  <c:v>17990.0</c:v>
                </c:pt>
                <c:pt idx="18">
                  <c:v>3350.0</c:v>
                </c:pt>
                <c:pt idx="19">
                  <c:v>44167.0</c:v>
                </c:pt>
                <c:pt idx="20">
                  <c:v>1467.0</c:v>
                </c:pt>
                <c:pt idx="21">
                  <c:v>5900.0</c:v>
                </c:pt>
                <c:pt idx="22">
                  <c:v>32171.0</c:v>
                </c:pt>
                <c:pt idx="23">
                  <c:v>1646.0</c:v>
                </c:pt>
                <c:pt idx="24">
                  <c:v>6409.0</c:v>
                </c:pt>
                <c:pt idx="25">
                  <c:v>24866.0</c:v>
                </c:pt>
                <c:pt idx="26">
                  <c:v>6788.0</c:v>
                </c:pt>
                <c:pt idx="27">
                  <c:v>607.0</c:v>
                </c:pt>
                <c:pt idx="28">
                  <c:v>8399.0</c:v>
                </c:pt>
                <c:pt idx="29">
                  <c:v>11569.0</c:v>
                </c:pt>
                <c:pt idx="30">
                  <c:v>348134.0</c:v>
                </c:pt>
                <c:pt idx="31">
                  <c:v>6915.0</c:v>
                </c:pt>
                <c:pt idx="32">
                  <c:v>893.0</c:v>
                </c:pt>
                <c:pt idx="33">
                  <c:v>5657.0</c:v>
                </c:pt>
                <c:pt idx="34">
                  <c:v>7136.0</c:v>
                </c:pt>
                <c:pt idx="35">
                  <c:v>7612.0</c:v>
                </c:pt>
                <c:pt idx="36">
                  <c:v>14285.0</c:v>
                </c:pt>
                <c:pt idx="37">
                  <c:v>24494.0</c:v>
                </c:pt>
                <c:pt idx="38">
                  <c:v>3005.0</c:v>
                </c:pt>
                <c:pt idx="39">
                  <c:v>228837.0</c:v>
                </c:pt>
                <c:pt idx="40">
                  <c:v>92597.0</c:v>
                </c:pt>
                <c:pt idx="41">
                  <c:v>2231.0</c:v>
                </c:pt>
                <c:pt idx="42">
                  <c:v>1521.0</c:v>
                </c:pt>
                <c:pt idx="43">
                  <c:v>355.0</c:v>
                </c:pt>
                <c:pt idx="44">
                  <c:v>157.0</c:v>
                </c:pt>
                <c:pt idx="45">
                  <c:v>708.0</c:v>
                </c:pt>
                <c:pt idx="46">
                  <c:v>22862.0</c:v>
                </c:pt>
                <c:pt idx="47">
                  <c:v>7096.0</c:v>
                </c:pt>
                <c:pt idx="48">
                  <c:v>109690.0</c:v>
                </c:pt>
                <c:pt idx="49">
                  <c:v>180.0</c:v>
                </c:pt>
                <c:pt idx="50">
                  <c:v>13702.0</c:v>
                </c:pt>
                <c:pt idx="51">
                  <c:v>2516.0</c:v>
                </c:pt>
                <c:pt idx="52">
                  <c:v>10233.0</c:v>
                </c:pt>
                <c:pt idx="53">
                  <c:v>36050.0</c:v>
                </c:pt>
                <c:pt idx="54">
                  <c:v>33671.0</c:v>
                </c:pt>
                <c:pt idx="55">
                  <c:v>8741.0</c:v>
                </c:pt>
                <c:pt idx="56">
                  <c:v>8814.0</c:v>
                </c:pt>
                <c:pt idx="57">
                  <c:v>1737.0</c:v>
                </c:pt>
                <c:pt idx="58">
                  <c:v>9204.0</c:v>
                </c:pt>
                <c:pt idx="59">
                  <c:v>130.0</c:v>
                </c:pt>
                <c:pt idx="60">
                  <c:v>10034.0</c:v>
                </c:pt>
                <c:pt idx="61">
                  <c:v>259.0</c:v>
                </c:pt>
                <c:pt idx="62">
                  <c:v>47308.0</c:v>
                </c:pt>
                <c:pt idx="63">
                  <c:v>39703.0</c:v>
                </c:pt>
                <c:pt idx="64">
                  <c:v>193582.0</c:v>
                </c:pt>
                <c:pt idx="65">
                  <c:v>2963.0</c:v>
                </c:pt>
                <c:pt idx="66">
                  <c:v>988.0</c:v>
                </c:pt>
                <c:pt idx="67">
                  <c:v>4043.0</c:v>
                </c:pt>
                <c:pt idx="68">
                  <c:v>65915.0</c:v>
                </c:pt>
                <c:pt idx="69">
                  <c:v>147573.0</c:v>
                </c:pt>
                <c:pt idx="70">
                  <c:v>11671.0</c:v>
                </c:pt>
                <c:pt idx="71">
                  <c:v>51095.0</c:v>
                </c:pt>
                <c:pt idx="72">
                  <c:v>48825.0</c:v>
                </c:pt>
                <c:pt idx="73">
                  <c:v>3111.0</c:v>
                </c:pt>
                <c:pt idx="74">
                  <c:v>8940.0</c:v>
                </c:pt>
                <c:pt idx="75">
                  <c:v>2785.0</c:v>
                </c:pt>
                <c:pt idx="76">
                  <c:v>838.0</c:v>
                </c:pt>
                <c:pt idx="77">
                  <c:v>227.0</c:v>
                </c:pt>
                <c:pt idx="78">
                  <c:v>7460.0</c:v>
                </c:pt>
                <c:pt idx="79">
                  <c:v>1371.0</c:v>
                </c:pt>
                <c:pt idx="80">
                  <c:v>173.0</c:v>
                </c:pt>
                <c:pt idx="81">
                  <c:v>14579.0</c:v>
                </c:pt>
                <c:pt idx="82">
                  <c:v>655.0</c:v>
                </c:pt>
                <c:pt idx="83">
                  <c:v>4903.0</c:v>
                </c:pt>
                <c:pt idx="84">
                  <c:v>759.0</c:v>
                </c:pt>
                <c:pt idx="85">
                  <c:v>2527.0</c:v>
                </c:pt>
                <c:pt idx="86">
                  <c:v>6182.0</c:v>
                </c:pt>
                <c:pt idx="87">
                  <c:v>6001.0</c:v>
                </c:pt>
                <c:pt idx="88">
                  <c:v>74330.0</c:v>
                </c:pt>
                <c:pt idx="89">
                  <c:v>4357.0</c:v>
                </c:pt>
                <c:pt idx="90">
                  <c:v>6182.0</c:v>
                </c:pt>
                <c:pt idx="91">
                  <c:v>69968.0</c:v>
                </c:pt>
                <c:pt idx="92">
                  <c:v>25960.0</c:v>
                </c:pt>
                <c:pt idx="93">
                  <c:v>744.0</c:v>
                </c:pt>
                <c:pt idx="94">
                  <c:v>717.0</c:v>
                </c:pt>
                <c:pt idx="95">
                  <c:v>4343.0</c:v>
                </c:pt>
                <c:pt idx="96">
                  <c:v>62281.0</c:v>
                </c:pt>
                <c:pt idx="97">
                  <c:v>76260.0</c:v>
                </c:pt>
                <c:pt idx="98">
                  <c:v>2546.0</c:v>
                </c:pt>
                <c:pt idx="99">
                  <c:v>35876.0</c:v>
                </c:pt>
                <c:pt idx="100">
                  <c:v>52002.0</c:v>
                </c:pt>
                <c:pt idx="101">
                  <c:v>92647.0</c:v>
                </c:pt>
                <c:pt idx="102">
                  <c:v>6967.0</c:v>
                </c:pt>
                <c:pt idx="103">
                  <c:v>13066.0</c:v>
                </c:pt>
                <c:pt idx="104">
                  <c:v>60091.0</c:v>
                </c:pt>
                <c:pt idx="105">
                  <c:v>3627.0</c:v>
                </c:pt>
                <c:pt idx="106">
                  <c:v>25242.0</c:v>
                </c:pt>
                <c:pt idx="107">
                  <c:v>10454.0</c:v>
                </c:pt>
                <c:pt idx="108">
                  <c:v>29302.0</c:v>
                </c:pt>
                <c:pt idx="109">
                  <c:v>10338.0</c:v>
                </c:pt>
                <c:pt idx="110">
                  <c:v>4324.0</c:v>
                </c:pt>
                <c:pt idx="111">
                  <c:v>4413.0</c:v>
                </c:pt>
                <c:pt idx="112">
                  <c:v>112839.0</c:v>
                </c:pt>
                <c:pt idx="113">
                  <c:v>27612.0</c:v>
                </c:pt>
                <c:pt idx="114">
                  <c:v>116969.0</c:v>
                </c:pt>
                <c:pt idx="115">
                  <c:v>925.0</c:v>
                </c:pt>
                <c:pt idx="116">
                  <c:v>50077.0</c:v>
                </c:pt>
                <c:pt idx="117">
                  <c:v>96838.0</c:v>
                </c:pt>
                <c:pt idx="118">
                  <c:v>6528.0</c:v>
                </c:pt>
                <c:pt idx="119">
                  <c:v>7086.0</c:v>
                </c:pt>
                <c:pt idx="120">
                  <c:v>21903.0</c:v>
                </c:pt>
                <c:pt idx="121">
                  <c:v>251.0</c:v>
                </c:pt>
                <c:pt idx="122">
                  <c:v>13454.0</c:v>
                </c:pt>
                <c:pt idx="123">
                  <c:v>1478.0</c:v>
                </c:pt>
                <c:pt idx="124">
                  <c:v>18736.0</c:v>
                </c:pt>
                <c:pt idx="125">
                  <c:v>263399.0</c:v>
                </c:pt>
                <c:pt idx="126">
                  <c:v>763.0</c:v>
                </c:pt>
                <c:pt idx="127">
                  <c:v>1429.0</c:v>
                </c:pt>
                <c:pt idx="128">
                  <c:v>5987.0</c:v>
                </c:pt>
                <c:pt idx="129">
                  <c:v>8838.0</c:v>
                </c:pt>
                <c:pt idx="130">
                  <c:v>1350.0</c:v>
                </c:pt>
                <c:pt idx="131">
                  <c:v>6653.0</c:v>
                </c:pt>
                <c:pt idx="132">
                  <c:v>3225.0</c:v>
                </c:pt>
                <c:pt idx="133">
                  <c:v>7848.0</c:v>
                </c:pt>
                <c:pt idx="134">
                  <c:v>46798.0</c:v>
                </c:pt>
                <c:pt idx="135">
                  <c:v>12603.0</c:v>
                </c:pt>
                <c:pt idx="136">
                  <c:v>544.0</c:v>
                </c:pt>
                <c:pt idx="137">
                  <c:v>12158.0</c:v>
                </c:pt>
                <c:pt idx="138">
                  <c:v>239.0</c:v>
                </c:pt>
                <c:pt idx="139">
                  <c:v>3472.0</c:v>
                </c:pt>
                <c:pt idx="140">
                  <c:v>6807.0</c:v>
                </c:pt>
                <c:pt idx="141">
                  <c:v>1100.0</c:v>
                </c:pt>
                <c:pt idx="142">
                  <c:v>1078.0</c:v>
                </c:pt>
                <c:pt idx="143">
                  <c:v>3438.0</c:v>
                </c:pt>
                <c:pt idx="144">
                  <c:v>53353.0</c:v>
                </c:pt>
                <c:pt idx="145">
                  <c:v>27642.0</c:v>
                </c:pt>
                <c:pt idx="146">
                  <c:v>1224.0</c:v>
                </c:pt>
                <c:pt idx="147">
                  <c:v>9301.0</c:v>
                </c:pt>
                <c:pt idx="148">
                  <c:v>1182.0</c:v>
                </c:pt>
                <c:pt idx="149">
                  <c:v>1004.0</c:v>
                </c:pt>
                <c:pt idx="150">
                  <c:v>77044.0</c:v>
                </c:pt>
                <c:pt idx="151">
                  <c:v>14555.0</c:v>
                </c:pt>
                <c:pt idx="152">
                  <c:v>8498.0</c:v>
                </c:pt>
                <c:pt idx="153">
                  <c:v>21840.0</c:v>
                </c:pt>
                <c:pt idx="154">
                  <c:v>20604.0</c:v>
                </c:pt>
                <c:pt idx="155">
                  <c:v>3079.0</c:v>
                </c:pt>
                <c:pt idx="156">
                  <c:v>2385.0</c:v>
                </c:pt>
                <c:pt idx="157">
                  <c:v>53171.0</c:v>
                </c:pt>
                <c:pt idx="158">
                  <c:v>27714.0</c:v>
                </c:pt>
                <c:pt idx="159">
                  <c:v>877.0</c:v>
                </c:pt>
                <c:pt idx="160">
                  <c:v>28116.0</c:v>
                </c:pt>
                <c:pt idx="161">
                  <c:v>264152.0</c:v>
                </c:pt>
                <c:pt idx="162">
                  <c:v>89.0</c:v>
                </c:pt>
                <c:pt idx="163">
                  <c:v>12928.0</c:v>
                </c:pt>
                <c:pt idx="164">
                  <c:v>7965.0</c:v>
                </c:pt>
                <c:pt idx="165">
                  <c:v>1065.0</c:v>
                </c:pt>
                <c:pt idx="166">
                  <c:v>5317.0</c:v>
                </c:pt>
                <c:pt idx="167">
                  <c:v>96571.0</c:v>
                </c:pt>
                <c:pt idx="168">
                  <c:v>12224.0</c:v>
                </c:pt>
                <c:pt idx="169">
                  <c:v>3906.0</c:v>
                </c:pt>
                <c:pt idx="170">
                  <c:v>2352.0</c:v>
                </c:pt>
                <c:pt idx="171">
                  <c:v>1415.0</c:v>
                </c:pt>
                <c:pt idx="172">
                  <c:v>364.0</c:v>
                </c:pt>
                <c:pt idx="173">
                  <c:v>30324.0</c:v>
                </c:pt>
                <c:pt idx="174">
                  <c:v>9842.0</c:v>
                </c:pt>
                <c:pt idx="175">
                  <c:v>15135.0</c:v>
                </c:pt>
                <c:pt idx="176">
                  <c:v>67553.0</c:v>
                </c:pt>
                <c:pt idx="177">
                  <c:v>13756.0</c:v>
                </c:pt>
                <c:pt idx="178">
                  <c:v>2427.0</c:v>
                </c:pt>
                <c:pt idx="179">
                  <c:v>62985.0</c:v>
                </c:pt>
                <c:pt idx="180">
                  <c:v>1899.0</c:v>
                </c:pt>
                <c:pt idx="181">
                  <c:v>8957.0</c:v>
                </c:pt>
                <c:pt idx="182">
                  <c:v>148438.0</c:v>
                </c:pt>
                <c:pt idx="183">
                  <c:v>660.0</c:v>
                </c:pt>
                <c:pt idx="184">
                  <c:v>5511.0</c:v>
                </c:pt>
                <c:pt idx="185">
                  <c:v>4103.0</c:v>
                </c:pt>
                <c:pt idx="186">
                  <c:v>5680.0</c:v>
                </c:pt>
                <c:pt idx="187">
                  <c:v>43733.0</c:v>
                </c:pt>
                <c:pt idx="188">
                  <c:v>3574.0</c:v>
                </c:pt>
                <c:pt idx="189">
                  <c:v>35703.0</c:v>
                </c:pt>
                <c:pt idx="190">
                  <c:v>1143.0</c:v>
                </c:pt>
                <c:pt idx="191">
                  <c:v>7989.0</c:v>
                </c:pt>
                <c:pt idx="192">
                  <c:v>13963.0</c:v>
                </c:pt>
                <c:pt idx="193">
                  <c:v>5805.0</c:v>
                </c:pt>
                <c:pt idx="194">
                  <c:v>112.0</c:v>
                </c:pt>
                <c:pt idx="195">
                  <c:v>5318.0</c:v>
                </c:pt>
                <c:pt idx="196">
                  <c:v>8131.0</c:v>
                </c:pt>
                <c:pt idx="197">
                  <c:v>13395.0</c:v>
                </c:pt>
                <c:pt idx="198">
                  <c:v>2586.0</c:v>
                </c:pt>
                <c:pt idx="199">
                  <c:v>177633.0</c:v>
                </c:pt>
                <c:pt idx="200">
                  <c:v>3814.0</c:v>
                </c:pt>
                <c:pt idx="201">
                  <c:v>2837.0</c:v>
                </c:pt>
                <c:pt idx="202">
                  <c:v>26971.0</c:v>
                </c:pt>
                <c:pt idx="203">
                  <c:v>31802.0</c:v>
                </c:pt>
                <c:pt idx="204">
                  <c:v>59675.0</c:v>
                </c:pt>
                <c:pt idx="205">
                  <c:v>3044.0</c:v>
                </c:pt>
                <c:pt idx="206">
                  <c:v>14405.0</c:v>
                </c:pt>
                <c:pt idx="207">
                  <c:v>482.0</c:v>
                </c:pt>
                <c:pt idx="208">
                  <c:v>17512.0</c:v>
                </c:pt>
                <c:pt idx="209">
                  <c:v>161.0</c:v>
                </c:pt>
                <c:pt idx="210">
                  <c:v>10914.0</c:v>
                </c:pt>
                <c:pt idx="211">
                  <c:v>1270.0</c:v>
                </c:pt>
                <c:pt idx="212">
                  <c:v>50563.0</c:v>
                </c:pt>
                <c:pt idx="213">
                  <c:v>2903.0</c:v>
                </c:pt>
                <c:pt idx="214">
                  <c:v>3706.0</c:v>
                </c:pt>
                <c:pt idx="215">
                  <c:v>74655.0</c:v>
                </c:pt>
                <c:pt idx="216">
                  <c:v>190.0</c:v>
                </c:pt>
                <c:pt idx="217">
                  <c:v>3864.0</c:v>
                </c:pt>
                <c:pt idx="218">
                  <c:v>462.0</c:v>
                </c:pt>
                <c:pt idx="219">
                  <c:v>12098.0</c:v>
                </c:pt>
                <c:pt idx="220">
                  <c:v>8056.0</c:v>
                </c:pt>
              </c:numCache>
            </c:numRef>
          </c:xVal>
          <c:yVal>
            <c:numRef>
              <c:f>'Valor FOB_CE_T_EZONASFRANCAS_da'!$G$2:$G$191081</c:f>
              <c:numCache>
                <c:formatCode>General</c:formatCode>
                <c:ptCount val="221"/>
                <c:pt idx="0">
                  <c:v>931.0</c:v>
                </c:pt>
                <c:pt idx="1">
                  <c:v>268.0</c:v>
                </c:pt>
                <c:pt idx="2">
                  <c:v>181.0</c:v>
                </c:pt>
                <c:pt idx="3">
                  <c:v>1240.0</c:v>
                </c:pt>
                <c:pt idx="4">
                  <c:v>662.0</c:v>
                </c:pt>
                <c:pt idx="5">
                  <c:v>965.0</c:v>
                </c:pt>
                <c:pt idx="6">
                  <c:v>1857.0</c:v>
                </c:pt>
                <c:pt idx="7">
                  <c:v>260.0</c:v>
                </c:pt>
                <c:pt idx="8">
                  <c:v>238.0</c:v>
                </c:pt>
                <c:pt idx="9">
                  <c:v>116.0</c:v>
                </c:pt>
                <c:pt idx="10">
                  <c:v>283.0</c:v>
                </c:pt>
                <c:pt idx="11">
                  <c:v>7967.0</c:v>
                </c:pt>
                <c:pt idx="12">
                  <c:v>1931.0</c:v>
                </c:pt>
                <c:pt idx="13">
                  <c:v>2561.0</c:v>
                </c:pt>
                <c:pt idx="14">
                  <c:v>4387.0</c:v>
                </c:pt>
                <c:pt idx="15">
                  <c:v>2041.0</c:v>
                </c:pt>
                <c:pt idx="16">
                  <c:v>290.0</c:v>
                </c:pt>
                <c:pt idx="17">
                  <c:v>867.0</c:v>
                </c:pt>
                <c:pt idx="18">
                  <c:v>429.0</c:v>
                </c:pt>
                <c:pt idx="19">
                  <c:v>2220.0</c:v>
                </c:pt>
                <c:pt idx="20">
                  <c:v>131.0</c:v>
                </c:pt>
                <c:pt idx="21">
                  <c:v>692.0</c:v>
                </c:pt>
                <c:pt idx="22">
                  <c:v>1235.0</c:v>
                </c:pt>
                <c:pt idx="23">
                  <c:v>293.0</c:v>
                </c:pt>
                <c:pt idx="24">
                  <c:v>636.0</c:v>
                </c:pt>
                <c:pt idx="25">
                  <c:v>3733.0</c:v>
                </c:pt>
                <c:pt idx="26">
                  <c:v>289.0</c:v>
                </c:pt>
                <c:pt idx="27">
                  <c:v>50.0</c:v>
                </c:pt>
                <c:pt idx="28">
                  <c:v>325.0</c:v>
                </c:pt>
                <c:pt idx="29">
                  <c:v>909.0</c:v>
                </c:pt>
                <c:pt idx="30">
                  <c:v>5736.0</c:v>
                </c:pt>
                <c:pt idx="31">
                  <c:v>386.0</c:v>
                </c:pt>
                <c:pt idx="32">
                  <c:v>52.0</c:v>
                </c:pt>
                <c:pt idx="33">
                  <c:v>474.0</c:v>
                </c:pt>
                <c:pt idx="34">
                  <c:v>227.0</c:v>
                </c:pt>
                <c:pt idx="35">
                  <c:v>293.0</c:v>
                </c:pt>
                <c:pt idx="36">
                  <c:v>1315.0</c:v>
                </c:pt>
                <c:pt idx="37">
                  <c:v>1272.0</c:v>
                </c:pt>
                <c:pt idx="38">
                  <c:v>494.0</c:v>
                </c:pt>
                <c:pt idx="39">
                  <c:v>7025.0</c:v>
                </c:pt>
                <c:pt idx="40">
                  <c:v>3647.0</c:v>
                </c:pt>
                <c:pt idx="41">
                  <c:v>39.0</c:v>
                </c:pt>
                <c:pt idx="42">
                  <c:v>191.0</c:v>
                </c:pt>
                <c:pt idx="43">
                  <c:v>13.0</c:v>
                </c:pt>
                <c:pt idx="44">
                  <c:v>4.0</c:v>
                </c:pt>
                <c:pt idx="45">
                  <c:v>58.0</c:v>
                </c:pt>
                <c:pt idx="46">
                  <c:v>1327.0</c:v>
                </c:pt>
                <c:pt idx="47">
                  <c:v>1398.0</c:v>
                </c:pt>
                <c:pt idx="48">
                  <c:v>1857.0</c:v>
                </c:pt>
                <c:pt idx="49">
                  <c:v>10.0</c:v>
                </c:pt>
                <c:pt idx="50">
                  <c:v>388.0</c:v>
                </c:pt>
                <c:pt idx="51">
                  <c:v>115.0</c:v>
                </c:pt>
                <c:pt idx="52">
                  <c:v>969.0</c:v>
                </c:pt>
                <c:pt idx="53">
                  <c:v>583.0</c:v>
                </c:pt>
                <c:pt idx="54">
                  <c:v>2759.0</c:v>
                </c:pt>
                <c:pt idx="55">
                  <c:v>92.0</c:v>
                </c:pt>
                <c:pt idx="56">
                  <c:v>1109.0</c:v>
                </c:pt>
                <c:pt idx="57">
                  <c:v>77.0</c:v>
                </c:pt>
                <c:pt idx="58">
                  <c:v>800.0</c:v>
                </c:pt>
                <c:pt idx="59">
                  <c:v>14.0</c:v>
                </c:pt>
                <c:pt idx="60">
                  <c:v>932.0</c:v>
                </c:pt>
                <c:pt idx="61">
                  <c:v>10.0</c:v>
                </c:pt>
                <c:pt idx="62">
                  <c:v>5063.0</c:v>
                </c:pt>
                <c:pt idx="63">
                  <c:v>2977.0</c:v>
                </c:pt>
                <c:pt idx="64">
                  <c:v>5462.0</c:v>
                </c:pt>
                <c:pt idx="65">
                  <c:v>734.0</c:v>
                </c:pt>
                <c:pt idx="66">
                  <c:v>99.0</c:v>
                </c:pt>
                <c:pt idx="67">
                  <c:v>228.0</c:v>
                </c:pt>
                <c:pt idx="68">
                  <c:v>2435.0</c:v>
                </c:pt>
                <c:pt idx="69">
                  <c:v>3898.0</c:v>
                </c:pt>
                <c:pt idx="70">
                  <c:v>793.0</c:v>
                </c:pt>
                <c:pt idx="71">
                  <c:v>1233.0</c:v>
                </c:pt>
                <c:pt idx="72">
                  <c:v>1532.0</c:v>
                </c:pt>
                <c:pt idx="73">
                  <c:v>101.0</c:v>
                </c:pt>
                <c:pt idx="74">
                  <c:v>1219.0</c:v>
                </c:pt>
                <c:pt idx="75">
                  <c:v>262.0</c:v>
                </c:pt>
                <c:pt idx="76">
                  <c:v>23.0</c:v>
                </c:pt>
                <c:pt idx="77">
                  <c:v>16.0</c:v>
                </c:pt>
                <c:pt idx="78">
                  <c:v>943.0</c:v>
                </c:pt>
                <c:pt idx="79">
                  <c:v>31.0</c:v>
                </c:pt>
                <c:pt idx="80">
                  <c:v>111.0</c:v>
                </c:pt>
                <c:pt idx="81">
                  <c:v>203.0</c:v>
                </c:pt>
                <c:pt idx="82">
                  <c:v>31.0</c:v>
                </c:pt>
                <c:pt idx="83">
                  <c:v>238.0</c:v>
                </c:pt>
                <c:pt idx="84">
                  <c:v>22.0</c:v>
                </c:pt>
                <c:pt idx="85">
                  <c:v>269.0</c:v>
                </c:pt>
                <c:pt idx="86">
                  <c:v>303.0</c:v>
                </c:pt>
                <c:pt idx="87">
                  <c:v>243.0</c:v>
                </c:pt>
                <c:pt idx="88">
                  <c:v>1810.0</c:v>
                </c:pt>
                <c:pt idx="89">
                  <c:v>521.0</c:v>
                </c:pt>
                <c:pt idx="90">
                  <c:v>303.0</c:v>
                </c:pt>
                <c:pt idx="91">
                  <c:v>2122.0</c:v>
                </c:pt>
                <c:pt idx="92">
                  <c:v>1176.0</c:v>
                </c:pt>
                <c:pt idx="93">
                  <c:v>23.0</c:v>
                </c:pt>
                <c:pt idx="94">
                  <c:v>10.0</c:v>
                </c:pt>
                <c:pt idx="95">
                  <c:v>1376.0</c:v>
                </c:pt>
                <c:pt idx="96">
                  <c:v>2455.0</c:v>
                </c:pt>
                <c:pt idx="97">
                  <c:v>3465.0</c:v>
                </c:pt>
                <c:pt idx="98">
                  <c:v>508.0</c:v>
                </c:pt>
                <c:pt idx="99">
                  <c:v>537.0</c:v>
                </c:pt>
                <c:pt idx="100">
                  <c:v>700.0</c:v>
                </c:pt>
                <c:pt idx="101">
                  <c:v>3725.0</c:v>
                </c:pt>
                <c:pt idx="102">
                  <c:v>350.0</c:v>
                </c:pt>
                <c:pt idx="103">
                  <c:v>641.0</c:v>
                </c:pt>
                <c:pt idx="104">
                  <c:v>1172.0</c:v>
                </c:pt>
                <c:pt idx="105">
                  <c:v>378.0</c:v>
                </c:pt>
                <c:pt idx="106">
                  <c:v>537.0</c:v>
                </c:pt>
                <c:pt idx="107">
                  <c:v>2933.0</c:v>
                </c:pt>
                <c:pt idx="108">
                  <c:v>983.0</c:v>
                </c:pt>
                <c:pt idx="109">
                  <c:v>1207.0</c:v>
                </c:pt>
                <c:pt idx="110">
                  <c:v>110.0</c:v>
                </c:pt>
                <c:pt idx="111">
                  <c:v>410.0</c:v>
                </c:pt>
                <c:pt idx="112">
                  <c:v>2314.0</c:v>
                </c:pt>
                <c:pt idx="113">
                  <c:v>1440.0</c:v>
                </c:pt>
                <c:pt idx="114">
                  <c:v>5586.0</c:v>
                </c:pt>
                <c:pt idx="115">
                  <c:v>67.0</c:v>
                </c:pt>
                <c:pt idx="116">
                  <c:v>1988.0</c:v>
                </c:pt>
                <c:pt idx="117">
                  <c:v>3845.0</c:v>
                </c:pt>
                <c:pt idx="118">
                  <c:v>259.0</c:v>
                </c:pt>
                <c:pt idx="119">
                  <c:v>1349.0</c:v>
                </c:pt>
                <c:pt idx="120">
                  <c:v>2875.0</c:v>
                </c:pt>
                <c:pt idx="121">
                  <c:v>8.0</c:v>
                </c:pt>
                <c:pt idx="122">
                  <c:v>286.0</c:v>
                </c:pt>
                <c:pt idx="123">
                  <c:v>44.0</c:v>
                </c:pt>
                <c:pt idx="124">
                  <c:v>760.0</c:v>
                </c:pt>
                <c:pt idx="125">
                  <c:v>7263.0</c:v>
                </c:pt>
                <c:pt idx="126">
                  <c:v>77.0</c:v>
                </c:pt>
                <c:pt idx="127">
                  <c:v>171.0</c:v>
                </c:pt>
                <c:pt idx="128">
                  <c:v>629.0</c:v>
                </c:pt>
                <c:pt idx="129">
                  <c:v>1652.0</c:v>
                </c:pt>
                <c:pt idx="130">
                  <c:v>604.0</c:v>
                </c:pt>
                <c:pt idx="131">
                  <c:v>691.0</c:v>
                </c:pt>
                <c:pt idx="132">
                  <c:v>63.0</c:v>
                </c:pt>
                <c:pt idx="133">
                  <c:v>1160.0</c:v>
                </c:pt>
                <c:pt idx="134">
                  <c:v>7103.0</c:v>
                </c:pt>
                <c:pt idx="135">
                  <c:v>1663.0</c:v>
                </c:pt>
                <c:pt idx="136">
                  <c:v>99.0</c:v>
                </c:pt>
                <c:pt idx="137">
                  <c:v>1794.0</c:v>
                </c:pt>
                <c:pt idx="138">
                  <c:v>24.0</c:v>
                </c:pt>
                <c:pt idx="139">
                  <c:v>99.0</c:v>
                </c:pt>
                <c:pt idx="140">
                  <c:v>854.0</c:v>
                </c:pt>
                <c:pt idx="141">
                  <c:v>38.0</c:v>
                </c:pt>
                <c:pt idx="142">
                  <c:v>45.0</c:v>
                </c:pt>
                <c:pt idx="143">
                  <c:v>257.0</c:v>
                </c:pt>
                <c:pt idx="144">
                  <c:v>2137.0</c:v>
                </c:pt>
                <c:pt idx="145">
                  <c:v>809.0</c:v>
                </c:pt>
                <c:pt idx="146">
                  <c:v>275.0</c:v>
                </c:pt>
                <c:pt idx="147">
                  <c:v>997.0</c:v>
                </c:pt>
                <c:pt idx="148">
                  <c:v>31.0</c:v>
                </c:pt>
                <c:pt idx="149">
                  <c:v>31.0</c:v>
                </c:pt>
                <c:pt idx="150">
                  <c:v>2957.0</c:v>
                </c:pt>
                <c:pt idx="151">
                  <c:v>559.0</c:v>
                </c:pt>
                <c:pt idx="152">
                  <c:v>327.0</c:v>
                </c:pt>
                <c:pt idx="153">
                  <c:v>1371.0</c:v>
                </c:pt>
                <c:pt idx="154">
                  <c:v>988.0</c:v>
                </c:pt>
                <c:pt idx="155">
                  <c:v>301.0</c:v>
                </c:pt>
                <c:pt idx="156">
                  <c:v>57.0</c:v>
                </c:pt>
                <c:pt idx="157">
                  <c:v>5450.0</c:v>
                </c:pt>
                <c:pt idx="158">
                  <c:v>605.0</c:v>
                </c:pt>
                <c:pt idx="159">
                  <c:v>285.0</c:v>
                </c:pt>
                <c:pt idx="160">
                  <c:v>2361.0</c:v>
                </c:pt>
                <c:pt idx="161">
                  <c:v>6563.0</c:v>
                </c:pt>
                <c:pt idx="162">
                  <c:v>5.0</c:v>
                </c:pt>
                <c:pt idx="163">
                  <c:v>1702.0</c:v>
                </c:pt>
                <c:pt idx="164">
                  <c:v>292.0</c:v>
                </c:pt>
                <c:pt idx="165">
                  <c:v>39.0</c:v>
                </c:pt>
                <c:pt idx="166">
                  <c:v>331.0</c:v>
                </c:pt>
                <c:pt idx="167">
                  <c:v>6708.0</c:v>
                </c:pt>
                <c:pt idx="168">
                  <c:v>875.0</c:v>
                </c:pt>
                <c:pt idx="169">
                  <c:v>156.0</c:v>
                </c:pt>
                <c:pt idx="170">
                  <c:v>207.0</c:v>
                </c:pt>
                <c:pt idx="171">
                  <c:v>222.0</c:v>
                </c:pt>
                <c:pt idx="172">
                  <c:v>51.0</c:v>
                </c:pt>
                <c:pt idx="173">
                  <c:v>4881.0</c:v>
                </c:pt>
                <c:pt idx="174">
                  <c:v>376.0</c:v>
                </c:pt>
                <c:pt idx="175">
                  <c:v>1782.0</c:v>
                </c:pt>
                <c:pt idx="176">
                  <c:v>2901.0</c:v>
                </c:pt>
                <c:pt idx="177">
                  <c:v>391.0</c:v>
                </c:pt>
                <c:pt idx="178">
                  <c:v>45.0</c:v>
                </c:pt>
                <c:pt idx="179">
                  <c:v>2265.0</c:v>
                </c:pt>
                <c:pt idx="180">
                  <c:v>67.0</c:v>
                </c:pt>
                <c:pt idx="181">
                  <c:v>894.0</c:v>
                </c:pt>
                <c:pt idx="182">
                  <c:v>1502.0</c:v>
                </c:pt>
                <c:pt idx="183">
                  <c:v>28.0</c:v>
                </c:pt>
                <c:pt idx="184">
                  <c:v>518.0</c:v>
                </c:pt>
                <c:pt idx="185">
                  <c:v>377.0</c:v>
                </c:pt>
                <c:pt idx="186">
                  <c:v>200.0</c:v>
                </c:pt>
                <c:pt idx="187">
                  <c:v>4855.0</c:v>
                </c:pt>
                <c:pt idx="188">
                  <c:v>243.0</c:v>
                </c:pt>
                <c:pt idx="189">
                  <c:v>362.0</c:v>
                </c:pt>
                <c:pt idx="190">
                  <c:v>26.0</c:v>
                </c:pt>
                <c:pt idx="191">
                  <c:v>581.0</c:v>
                </c:pt>
                <c:pt idx="192">
                  <c:v>1406.0</c:v>
                </c:pt>
                <c:pt idx="193">
                  <c:v>491.0</c:v>
                </c:pt>
                <c:pt idx="194">
                  <c:v>7.0</c:v>
                </c:pt>
                <c:pt idx="195">
                  <c:v>129.0</c:v>
                </c:pt>
                <c:pt idx="196">
                  <c:v>954.0</c:v>
                </c:pt>
                <c:pt idx="197">
                  <c:v>13.0</c:v>
                </c:pt>
                <c:pt idx="198">
                  <c:v>167.0</c:v>
                </c:pt>
                <c:pt idx="199">
                  <c:v>4172.0</c:v>
                </c:pt>
                <c:pt idx="200">
                  <c:v>41.0</c:v>
                </c:pt>
                <c:pt idx="201">
                  <c:v>316.0</c:v>
                </c:pt>
                <c:pt idx="202">
                  <c:v>1073.0</c:v>
                </c:pt>
                <c:pt idx="203">
                  <c:v>2759.0</c:v>
                </c:pt>
                <c:pt idx="204">
                  <c:v>6693.0</c:v>
                </c:pt>
                <c:pt idx="205">
                  <c:v>432.0</c:v>
                </c:pt>
                <c:pt idx="206">
                  <c:v>1227.0</c:v>
                </c:pt>
                <c:pt idx="207">
                  <c:v>59.0</c:v>
                </c:pt>
                <c:pt idx="208">
                  <c:v>2270.0</c:v>
                </c:pt>
                <c:pt idx="209">
                  <c:v>20.0</c:v>
                </c:pt>
                <c:pt idx="210">
                  <c:v>1303.0</c:v>
                </c:pt>
                <c:pt idx="211">
                  <c:v>178.0</c:v>
                </c:pt>
                <c:pt idx="212">
                  <c:v>4180.0</c:v>
                </c:pt>
                <c:pt idx="213">
                  <c:v>88.0</c:v>
                </c:pt>
                <c:pt idx="214">
                  <c:v>97.0</c:v>
                </c:pt>
                <c:pt idx="215">
                  <c:v>758.0</c:v>
                </c:pt>
                <c:pt idx="216">
                  <c:v>9.0</c:v>
                </c:pt>
                <c:pt idx="217">
                  <c:v>179.0</c:v>
                </c:pt>
                <c:pt idx="218">
                  <c:v>10.0</c:v>
                </c:pt>
                <c:pt idx="219">
                  <c:v>481.0</c:v>
                </c:pt>
                <c:pt idx="220">
                  <c:v>251.0</c:v>
                </c:pt>
              </c:numCache>
            </c:numRef>
          </c:yVal>
          <c:smooth val="0"/>
        </c:ser>
        <c:dLbls>
          <c:showLegendKey val="0"/>
          <c:showVal val="0"/>
          <c:showCatName val="0"/>
          <c:showSerName val="0"/>
          <c:showPercent val="0"/>
          <c:showBubbleSize val="0"/>
        </c:dLbls>
        <c:axId val="71431447"/>
        <c:axId val="71428927"/>
      </c:scatterChart>
      <c:valAx>
        <c:axId val="7143144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71428927"/>
        <c:crosses val="autoZero"/>
        <c:crossBetween val="midCat"/>
      </c:valAx>
      <c:valAx>
        <c:axId val="71428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71431447"/>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[ExpoFrancasCarbonVegetal.xlsx]Zonas!TablaDinámica20</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Zonas!$B$3</c:f>
              <c:strCache>
                <c:ptCount val="1"/>
                <c:pt idx="0">
                  <c:v>Total</c:v>
                </c:pt>
              </c:strCache>
            </c:strRef>
          </c:tx>
          <c:spPr>
            <a:solidFill>
              <a:schemeClr val="accent1"/>
            </a:solidFill>
            <a:ln>
              <a:noFill/>
            </a:ln>
            <a:effectLst/>
          </c:spPr>
          <c:invertIfNegative val="0"/>
          <c:cat>
            <c:multiLvlStrRef>
              <c:f>Zonas!$A$4:$A$9</c:f>
              <c:multiLvlStrCache>
                <c:ptCount val="3"/>
                <c:lvl>
                  <c:pt idx="0">
                    <c:v>2012</c:v>
                  </c:pt>
                  <c:pt idx="1">
                    <c:v>2013</c:v>
                  </c:pt>
                  <c:pt idx="2">
                    <c:v>2016</c:v>
                  </c:pt>
                </c:lvl>
                <c:lvl>
                  <c:pt idx="0">
                    <c:v>4202.11.00</c:v>
                  </c:pt>
                </c:lvl>
                <c:lvl>
                  <c:pt idx="0">
                    <c:v>Área Económica Especial Panamá Pacífico</c:v>
                  </c:pt>
                </c:lvl>
              </c:multiLvlStrCache>
            </c:multiLvlStrRef>
          </c:cat>
          <c:val>
            <c:numRef>
              <c:f>Zonas!$B$4:$B$9</c:f>
              <c:numCache>
                <c:formatCode>General</c:formatCode>
                <c:ptCount val="3"/>
                <c:pt idx="0">
                  <c:v>3.0</c:v>
                </c:pt>
                <c:pt idx="1">
                  <c:v>138.0</c:v>
                </c:pt>
                <c:pt idx="2">
                  <c:v>200.0</c:v>
                </c:pt>
              </c:numCache>
            </c:numRef>
          </c:val>
        </c:ser>
        <c:dLbls>
          <c:showLegendKey val="0"/>
          <c:showVal val="0"/>
          <c:showCatName val="0"/>
          <c:showSerName val="0"/>
          <c:showPercent val="0"/>
          <c:showBubbleSize val="0"/>
        </c:dLbls>
        <c:gapWidth val="182"/>
        <c:axId val="1320025216"/>
        <c:axId val="1320031696"/>
      </c:barChart>
      <c:catAx>
        <c:axId val="13200252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20031696"/>
        <c:crosses val="autoZero"/>
        <c:auto val="1"/>
        <c:lblAlgn val="ctr"/>
        <c:lblOffset val="100"/>
        <c:noMultiLvlLbl val="0"/>
      </c:catAx>
      <c:valAx>
        <c:axId val="13200316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200252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[ExpoFrancasCarbonVegetal.xlsx]Zonas Pacifico!TablaDinámica20</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'Zonas Pacifico'!$B$3</c:f>
              <c:strCache>
                <c:ptCount val="1"/>
                <c:pt idx="0">
                  <c:v>Total</c:v>
                </c:pt>
              </c:strCache>
            </c:strRef>
          </c:tx>
          <c:spPr>
            <a:solidFill>
              <a:schemeClr val="accent1"/>
            </a:solidFill>
            <a:ln>
              <a:noFill/>
            </a:ln>
            <a:effectLst/>
          </c:spPr>
          <c:invertIfNegative val="0"/>
          <c:cat>
            <c:multiLvlStrRef>
              <c:f>'Zonas Pacifico'!$A$4:$A$9</c:f>
              <c:multiLvlStrCache>
                <c:ptCount val="3"/>
                <c:lvl>
                  <c:pt idx="0">
                    <c:v>2012</c:v>
                  </c:pt>
                  <c:pt idx="1">
                    <c:v>2013</c:v>
                  </c:pt>
                  <c:pt idx="2">
                    <c:v>2016</c:v>
                  </c:pt>
                </c:lvl>
                <c:lvl>
                  <c:pt idx="0">
                    <c:v>4202.11.00</c:v>
                  </c:pt>
                </c:lvl>
                <c:lvl>
                  <c:pt idx="0">
                    <c:v>Área Económica Especial Panamá Pacífico</c:v>
                  </c:pt>
                </c:lvl>
              </c:multiLvlStrCache>
            </c:multiLvlStrRef>
          </c:cat>
          <c:val>
            <c:numRef>
              <c:f>'Zonas Pacifico'!$B$4:$B$9</c:f>
              <c:numCache>
                <c:formatCode>General</c:formatCode>
                <c:ptCount val="3"/>
                <c:pt idx="0">
                  <c:v>3.0</c:v>
                </c:pt>
                <c:pt idx="1">
                  <c:v>138.0</c:v>
                </c:pt>
                <c:pt idx="2">
                  <c:v>200.0</c:v>
                </c:pt>
              </c:numCache>
            </c:numRef>
          </c:val>
        </c:ser>
        <c:dLbls>
          <c:showLegendKey val="0"/>
          <c:showVal val="0"/>
          <c:showCatName val="0"/>
          <c:showSerName val="0"/>
          <c:showPercent val="0"/>
          <c:showBubbleSize val="0"/>
        </c:dLbls>
        <c:gapWidth val="219"/>
        <c:overlap val="-27"/>
        <c:axId val="929299112"/>
        <c:axId val="414473664"/>
      </c:barChart>
      <c:catAx>
        <c:axId val="929299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14473664"/>
        <c:crosses val="autoZero"/>
        <c:auto val="1"/>
        <c:lblAlgn val="ctr"/>
        <c:lblOffset val="100"/>
        <c:noMultiLvlLbl val="0"/>
      </c:catAx>
      <c:valAx>
        <c:axId val="414473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9292991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A"/>
              <a:t>PESO</a:t>
            </a:r>
            <a:r>
              <a:rPr lang="es-PA" baseline="0"/>
              <a:t> BRUTO EXPORTADO</a:t>
            </a:r>
            <a:endParaRPr lang="es-P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Total</c:v>
          </c:tx>
          <c:spPr>
            <a:solidFill>
              <a:schemeClr val="accent1"/>
            </a:solidFill>
            <a:ln>
              <a:noFill/>
            </a:ln>
            <a:effectLst/>
          </c:spPr>
          <c:invertIfNegative val="0"/>
          <c:cat>
            <c:strLit>
              <c:ptCount val="2"/>
              <c:pt idx="0">
                <c:v>América 8536.70.90</c:v>
              </c:pt>
              <c:pt idx="1">
                <c:v>Asia 8536.70.90</c:v>
              </c:pt>
            </c:strLit>
          </c:cat>
          <c:val>
            <c:numLit>
              <c:formatCode>General</c:formatCode>
              <c:ptCount val="2"/>
              <c:pt idx="0">
                <c:v>29535.0</c:v>
              </c:pt>
              <c:pt idx="1">
                <c:v>502.0</c:v>
              </c:pt>
            </c:numLit>
          </c:val>
        </c:ser>
        <c:dLbls>
          <c:showLegendKey val="0"/>
          <c:showVal val="0"/>
          <c:showCatName val="0"/>
          <c:showSerName val="0"/>
          <c:showPercent val="0"/>
          <c:showBubbleSize val="0"/>
        </c:dLbls>
        <c:gapWidth val="219"/>
        <c:overlap val="-27"/>
        <c:axId val="875674440"/>
        <c:axId val="875673720"/>
      </c:barChart>
      <c:catAx>
        <c:axId val="875674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875673720"/>
        <c:crosses val="autoZero"/>
        <c:auto val="1"/>
        <c:lblAlgn val="ctr"/>
        <c:lblOffset val="100"/>
        <c:noMultiLvlLbl val="0"/>
      </c:catAx>
      <c:valAx>
        <c:axId val="875673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8756744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[ExpoFrancasCarbonVegetal.xlsx]VIA DE TRANSPORTE!TablaDinámica2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'VIA DE TRANSPORTE'!$B$3</c:f>
              <c:strCache>
                <c:ptCount val="1"/>
                <c:pt idx="0">
                  <c:v>Suma de Peso bruto</c:v>
                </c:pt>
              </c:strCache>
            </c:strRef>
          </c:tx>
          <c:spPr>
            <a:solidFill>
              <a:schemeClr val="accent1"/>
            </a:solidFill>
            <a:ln>
              <a:noFill/>
            </a:ln>
            <a:effectLst/>
          </c:spPr>
          <c:invertIfNegative val="0"/>
          <c:cat>
            <c:multiLvlStrRef>
              <c:f>'VIA DE TRANSPORTE'!$A$4:$A$6</c:f>
              <c:multiLvlStrCache>
                <c:ptCount val="1"/>
                <c:lvl>
                  <c:pt idx="0">
                    <c:v>4202.11.00</c:v>
                  </c:pt>
                </c:lvl>
                <c:lvl>
                  <c:pt idx="0">
                    <c:v>Terrestre</c:v>
                  </c:pt>
                </c:lvl>
              </c:multiLvlStrCache>
            </c:multiLvlStrRef>
          </c:cat>
          <c:val>
            <c:numRef>
              <c:f>'VIA DE TRANSPORTE'!$B$4:$B$6</c:f>
              <c:numCache>
                <c:formatCode>General</c:formatCode>
                <c:ptCount val="1"/>
                <c:pt idx="0">
                  <c:v>341.0</c:v>
                </c:pt>
              </c:numCache>
            </c:numRef>
          </c:val>
        </c:ser>
        <c:ser>
          <c:idx val="1"/>
          <c:order val="1"/>
          <c:tx>
            <c:strRef>
              <c:f>'VIA DE TRANSPORTE'!$C$3</c:f>
              <c:strCache>
                <c:ptCount val="1"/>
                <c:pt idx="0">
                  <c:v>Suma de Valor FOB</c:v>
                </c:pt>
              </c:strCache>
            </c:strRef>
          </c:tx>
          <c:spPr>
            <a:solidFill>
              <a:schemeClr val="accent2"/>
            </a:solidFill>
            <a:ln>
              <a:noFill/>
            </a:ln>
            <a:effectLst/>
          </c:spPr>
          <c:invertIfNegative val="0"/>
          <c:cat>
            <c:multiLvlStrRef>
              <c:f>'VIA DE TRANSPORTE'!$A$4:$A$6</c:f>
              <c:multiLvlStrCache>
                <c:ptCount val="1"/>
                <c:lvl>
                  <c:pt idx="0">
                    <c:v>4202.11.00</c:v>
                  </c:pt>
                </c:lvl>
                <c:lvl>
                  <c:pt idx="0">
                    <c:v>Terrestre</c:v>
                  </c:pt>
                </c:lvl>
              </c:multiLvlStrCache>
            </c:multiLvlStrRef>
          </c:cat>
          <c:val>
            <c:numRef>
              <c:f>'VIA DE TRANSPORTE'!$C$4:$C$6</c:f>
              <c:numCache>
                <c:formatCode>General</c:formatCode>
                <c:ptCount val="1"/>
                <c:pt idx="0">
                  <c:v>9924.0</c:v>
                </c:pt>
              </c:numCache>
            </c:numRef>
          </c:val>
        </c:ser>
        <c:dLbls>
          <c:showLegendKey val="0"/>
          <c:showVal val="0"/>
          <c:showCatName val="0"/>
          <c:showSerName val="0"/>
          <c:showPercent val="0"/>
          <c:showBubbleSize val="0"/>
        </c:dLbls>
        <c:gapWidth val="219"/>
        <c:overlap val="-27"/>
        <c:axId val="795128264"/>
        <c:axId val="795121784"/>
      </c:barChart>
      <c:catAx>
        <c:axId val="795128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795121784"/>
        <c:crosses val="autoZero"/>
        <c:auto val="1"/>
        <c:lblAlgn val="ctr"/>
        <c:lblOffset val="100"/>
        <c:noMultiLvlLbl val="0"/>
      </c:catAx>
      <c:valAx>
        <c:axId val="795121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7951282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A"/>
              <a:t>CORRELACIÓN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'Valor FOB_CE_T_EZONASFRANCAS_da'!$F$256:$F$191058</c:f>
              <c:numCache>
                <c:formatCode>General</c:formatCode>
                <c:ptCount val="3"/>
                <c:pt idx="0">
                  <c:v>285.0</c:v>
                </c:pt>
                <c:pt idx="1">
                  <c:v>116.0</c:v>
                </c:pt>
                <c:pt idx="2">
                  <c:v>18340.0</c:v>
                </c:pt>
              </c:numCache>
            </c:numRef>
          </c:xVal>
          <c:yVal>
            <c:numRef>
              <c:f>'Valor FOB_CE_T_EZONASFRANCAS_da'!$G$256:$G$191058</c:f>
              <c:numCache>
                <c:formatCode>General</c:formatCode>
                <c:ptCount val="3"/>
                <c:pt idx="0">
                  <c:v>43.0</c:v>
                </c:pt>
                <c:pt idx="1">
                  <c:v>17.0</c:v>
                </c:pt>
                <c:pt idx="2">
                  <c:v>333.0</c:v>
                </c:pt>
              </c:numCache>
            </c:numRef>
          </c:yVal>
          <c:smooth val="0"/>
        </c:ser>
        <c:dLbls>
          <c:showLegendKey val="0"/>
          <c:showVal val="0"/>
          <c:showCatName val="0"/>
          <c:showSerName val="0"/>
          <c:showPercent val="0"/>
          <c:showBubbleSize val="0"/>
        </c:dLbls>
        <c:axId val="1009578888"/>
        <c:axId val="1009579248"/>
      </c:scatterChart>
      <c:valAx>
        <c:axId val="10095788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009579248"/>
        <c:crosses val="autoZero"/>
        <c:crossBetween val="midCat"/>
      </c:valAx>
      <c:valAx>
        <c:axId val="1009579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009578888"/>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[ExpoFrancasCarbonVegetal.xlsx]Zonas!TablaDinámica20</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Zonas!$B$3</c:f>
              <c:strCache>
                <c:ptCount val="1"/>
                <c:pt idx="0">
                  <c:v>Total</c:v>
                </c:pt>
              </c:strCache>
            </c:strRef>
          </c:tx>
          <c:spPr>
            <a:solidFill>
              <a:schemeClr val="accent1"/>
            </a:solidFill>
            <a:ln>
              <a:noFill/>
            </a:ln>
            <a:effectLst/>
          </c:spPr>
          <c:invertIfNegative val="0"/>
          <c:cat>
            <c:multiLvlStrRef>
              <c:f>Zonas!$A$4:$A$9</c:f>
              <c:multiLvlStrCache>
                <c:ptCount val="3"/>
                <c:lvl>
                  <c:pt idx="0">
                    <c:v>2012</c:v>
                  </c:pt>
                  <c:pt idx="1">
                    <c:v>2013</c:v>
                  </c:pt>
                  <c:pt idx="2">
                    <c:v>2016</c:v>
                  </c:pt>
                </c:lvl>
                <c:lvl>
                  <c:pt idx="0">
                    <c:v>4202.11.00</c:v>
                  </c:pt>
                </c:lvl>
                <c:lvl>
                  <c:pt idx="0">
                    <c:v>Área Económica Especial Panamá Pacífico</c:v>
                  </c:pt>
                </c:lvl>
              </c:multiLvlStrCache>
            </c:multiLvlStrRef>
          </c:cat>
          <c:val>
            <c:numRef>
              <c:f>Zonas!$B$4:$B$9</c:f>
              <c:numCache>
                <c:formatCode>General</c:formatCode>
                <c:ptCount val="3"/>
                <c:pt idx="0">
                  <c:v>3.0</c:v>
                </c:pt>
                <c:pt idx="1">
                  <c:v>138.0</c:v>
                </c:pt>
                <c:pt idx="2">
                  <c:v>200.0</c:v>
                </c:pt>
              </c:numCache>
            </c:numRef>
          </c:val>
        </c:ser>
        <c:dLbls>
          <c:showLegendKey val="0"/>
          <c:showVal val="0"/>
          <c:showCatName val="0"/>
          <c:showSerName val="0"/>
          <c:showPercent val="0"/>
          <c:showBubbleSize val="0"/>
        </c:dLbls>
        <c:gapWidth val="182"/>
        <c:axId val="1320025216"/>
        <c:axId val="1320031696"/>
      </c:barChart>
      <c:catAx>
        <c:axId val="13200252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20031696"/>
        <c:crosses val="autoZero"/>
        <c:auto val="1"/>
        <c:lblAlgn val="ctr"/>
        <c:lblOffset val="100"/>
        <c:noMultiLvlLbl val="0"/>
      </c:catAx>
      <c:valAx>
        <c:axId val="13200316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200252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[ExpoFrancasCarbonVegetal.xlsx]FOB POR AÑO!TablaDinámica26</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'FOB POR AÑO'!$B$1</c:f>
              <c:strCache>
                <c:ptCount val="1"/>
                <c:pt idx="0">
                  <c:v>Total</c:v>
                </c:pt>
              </c:strCache>
            </c:strRef>
          </c:tx>
          <c:spPr>
            <a:solidFill>
              <a:schemeClr val="accent1"/>
            </a:solidFill>
            <a:ln>
              <a:noFill/>
            </a:ln>
            <a:effectLst/>
          </c:spPr>
          <c:invertIfNegative val="0"/>
          <c:cat>
            <c:multiLvlStrRef>
              <c:f>'FOB POR AÑO'!$A$2:$A$8</c:f>
              <c:multiLvlStrCache>
                <c:ptCount val="5"/>
                <c:lvl>
                  <c:pt idx="0">
                    <c:v>2012</c:v>
                  </c:pt>
                  <c:pt idx="1">
                    <c:v>2013</c:v>
                  </c:pt>
                  <c:pt idx="2">
                    <c:v>2014</c:v>
                  </c:pt>
                  <c:pt idx="3">
                    <c:v>2015</c:v>
                  </c:pt>
                  <c:pt idx="4">
                    <c:v>2016</c:v>
                  </c:pt>
                </c:lvl>
                <c:lvl>
                  <c:pt idx="0">
                    <c:v>7326.20.90</c:v>
                  </c:pt>
                </c:lvl>
              </c:multiLvlStrCache>
            </c:multiLvlStrRef>
          </c:cat>
          <c:val>
            <c:numRef>
              <c:f>'FOB POR AÑO'!$B$2:$B$8</c:f>
              <c:numCache>
                <c:formatCode>General</c:formatCode>
                <c:ptCount val="5"/>
                <c:pt idx="0">
                  <c:v>19695.0</c:v>
                </c:pt>
                <c:pt idx="1">
                  <c:v>81123.0</c:v>
                </c:pt>
                <c:pt idx="2">
                  <c:v>15609.0</c:v>
                </c:pt>
                <c:pt idx="3">
                  <c:v>14177.0</c:v>
                </c:pt>
                <c:pt idx="4">
                  <c:v>19950.0</c:v>
                </c:pt>
              </c:numCache>
            </c:numRef>
          </c:val>
        </c:ser>
        <c:dLbls>
          <c:showLegendKey val="0"/>
          <c:showVal val="0"/>
          <c:showCatName val="0"/>
          <c:showSerName val="0"/>
          <c:showPercent val="0"/>
          <c:showBubbleSize val="0"/>
        </c:dLbls>
        <c:gapWidth val="219"/>
        <c:overlap val="-27"/>
        <c:axId val="71414167"/>
        <c:axId val="71414527"/>
      </c:barChart>
      <c:catAx>
        <c:axId val="714141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71414527"/>
        <c:crosses val="autoZero"/>
        <c:auto val="1"/>
        <c:lblAlgn val="ctr"/>
        <c:lblOffset val="100"/>
        <c:noMultiLvlLbl val="0"/>
      </c:catAx>
      <c:valAx>
        <c:axId val="714145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7141416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A"/>
              <a:t>CORRELACIÓN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trendlineLbl>
          </c:trendline>
          <c:xVal>
            <c:numRef>
              <c:f>'Valor FOB_CE_T_EZONASFRANCAS_da'!$F$168:$F$190389</c:f>
              <c:numCache>
                <c:formatCode>General</c:formatCode>
                <c:ptCount val="3"/>
                <c:pt idx="0">
                  <c:v>285.0</c:v>
                </c:pt>
                <c:pt idx="1">
                  <c:v>116.0</c:v>
                </c:pt>
                <c:pt idx="2">
                  <c:v>18340.0</c:v>
                </c:pt>
              </c:numCache>
            </c:numRef>
          </c:xVal>
          <c:yVal>
            <c:numRef>
              <c:f>'Valor FOB_CE_T_EZONASFRANCAS_da'!$G$168:$G$190389</c:f>
              <c:numCache>
                <c:formatCode>General</c:formatCode>
                <c:ptCount val="3"/>
                <c:pt idx="0">
                  <c:v>43.0</c:v>
                </c:pt>
                <c:pt idx="1">
                  <c:v>17.0</c:v>
                </c:pt>
                <c:pt idx="2">
                  <c:v>333.0</c:v>
                </c:pt>
              </c:numCache>
            </c:numRef>
          </c:yVal>
          <c:smooth val="0"/>
        </c:ser>
        <c:dLbls>
          <c:showLegendKey val="0"/>
          <c:showVal val="0"/>
          <c:showCatName val="0"/>
          <c:showSerName val="0"/>
          <c:showPercent val="0"/>
          <c:showBubbleSize val="0"/>
        </c:dLbls>
        <c:axId val="1001188152"/>
        <c:axId val="1001195352"/>
      </c:scatterChart>
      <c:valAx>
        <c:axId val="10011881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001195352"/>
        <c:crosses val="autoZero"/>
        <c:crossBetween val="midCat"/>
      </c:valAx>
      <c:valAx>
        <c:axId val="1001195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001188152"/>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[PIB ANUAL POR CATEGORIAS EDITADO.xlsx]HOTEL AÑO !TablaDinámica7</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'HOTEL AÑO '!$B$1</c:f>
              <c:strCache>
                <c:ptCount val="1"/>
                <c:pt idx="0">
                  <c:v>Suma de Composición Corriente</c:v>
                </c:pt>
              </c:strCache>
            </c:strRef>
          </c:tx>
          <c:spPr>
            <a:solidFill>
              <a:schemeClr val="accent1"/>
            </a:solidFill>
            <a:ln>
              <a:noFill/>
            </a:ln>
            <a:effectLst/>
          </c:spPr>
          <c:invertIfNegative val="0"/>
          <c:cat>
            <c:multiLvlStrRef>
              <c:f>'HOTEL AÑO '!$A$2:$A$17</c:f>
              <c:multiLvlStrCache>
                <c:ptCount val="14"/>
                <c:lvl>
                  <c:pt idx="0">
                    <c:v>2008-2007</c:v>
                  </c:pt>
                  <c:pt idx="1">
                    <c:v>2009-2008</c:v>
                  </c:pt>
                  <c:pt idx="2">
                    <c:v>2010-2009</c:v>
                  </c:pt>
                  <c:pt idx="3">
                    <c:v>2011-2010</c:v>
                  </c:pt>
                  <c:pt idx="4">
                    <c:v>2012-2011</c:v>
                  </c:pt>
                  <c:pt idx="5">
                    <c:v>2013-2012</c:v>
                  </c:pt>
                  <c:pt idx="6">
                    <c:v>2014-2013</c:v>
                  </c:pt>
                  <c:pt idx="7">
                    <c:v>2015-2014</c:v>
                  </c:pt>
                  <c:pt idx="8">
                    <c:v>2016-2015</c:v>
                  </c:pt>
                  <c:pt idx="9">
                    <c:v>2017-2016</c:v>
                  </c:pt>
                  <c:pt idx="10">
                    <c:v>2018-2017</c:v>
                  </c:pt>
                  <c:pt idx="11">
                    <c:v>2019-2018</c:v>
                  </c:pt>
                  <c:pt idx="12">
                    <c:v>2020-2019</c:v>
                  </c:pt>
                  <c:pt idx="13">
                    <c:v>(en blanco)</c:v>
                  </c:pt>
                </c:lvl>
                <c:lvl>
                  <c:pt idx="0">
                    <c:v>H   HOTELES Y RESTAURANTES</c:v>
                  </c:pt>
                </c:lvl>
              </c:multiLvlStrCache>
            </c:multiLvlStrRef>
          </c:cat>
          <c:val>
            <c:numRef>
              <c:f>'HOTEL AÑO '!$B$2:$B$17</c:f>
              <c:numCache>
                <c:formatCode>General</c:formatCode>
                <c:ptCount val="14"/>
                <c:pt idx="0">
                  <c:v>2.845076684</c:v>
                </c:pt>
                <c:pt idx="1">
                  <c:v>2.790725166</c:v>
                </c:pt>
                <c:pt idx="2">
                  <c:v>2.80419692</c:v>
                </c:pt>
                <c:pt idx="3">
                  <c:v>2.886900175</c:v>
                </c:pt>
                <c:pt idx="4">
                  <c:v>2.865127455</c:v>
                </c:pt>
                <c:pt idx="5">
                  <c:v>2.749741181</c:v>
                </c:pt>
                <c:pt idx="6">
                  <c:v>2.638937333</c:v>
                </c:pt>
                <c:pt idx="7">
                  <c:v>2.614339556</c:v>
                </c:pt>
                <c:pt idx="8">
                  <c:v>2.546479404</c:v>
                </c:pt>
                <c:pt idx="9">
                  <c:v>2.469687047</c:v>
                </c:pt>
                <c:pt idx="10">
                  <c:v>2.309413017</c:v>
                </c:pt>
                <c:pt idx="11">
                  <c:v>2.233296162</c:v>
                </c:pt>
                <c:pt idx="12">
                  <c:v>1.23924824</c:v>
                </c:pt>
                <c:pt idx="13">
                  <c:v>2.866735537</c:v>
                </c:pt>
              </c:numCache>
            </c:numRef>
          </c:val>
        </c:ser>
        <c:ser>
          <c:idx val="1"/>
          <c:order val="1"/>
          <c:tx>
            <c:strRef>
              <c:f>'HOTEL AÑO '!$C$1</c:f>
              <c:strCache>
                <c:ptCount val="1"/>
                <c:pt idx="0">
                  <c:v>Suma de Valor Constante</c:v>
                </c:pt>
              </c:strCache>
            </c:strRef>
          </c:tx>
          <c:spPr>
            <a:solidFill>
              <a:schemeClr val="accent2"/>
            </a:solidFill>
            <a:ln>
              <a:noFill/>
            </a:ln>
            <a:effectLst/>
          </c:spPr>
          <c:invertIfNegative val="0"/>
          <c:cat>
            <c:multiLvlStrRef>
              <c:f>'HOTEL AÑO '!$A$2:$A$17</c:f>
              <c:multiLvlStrCache>
                <c:ptCount val="14"/>
                <c:lvl>
                  <c:pt idx="0">
                    <c:v>2008-2007</c:v>
                  </c:pt>
                  <c:pt idx="1">
                    <c:v>2009-2008</c:v>
                  </c:pt>
                  <c:pt idx="2">
                    <c:v>2010-2009</c:v>
                  </c:pt>
                  <c:pt idx="3">
                    <c:v>2011-2010</c:v>
                  </c:pt>
                  <c:pt idx="4">
                    <c:v>2012-2011</c:v>
                  </c:pt>
                  <c:pt idx="5">
                    <c:v>2013-2012</c:v>
                  </c:pt>
                  <c:pt idx="6">
                    <c:v>2014-2013</c:v>
                  </c:pt>
                  <c:pt idx="7">
                    <c:v>2015-2014</c:v>
                  </c:pt>
                  <c:pt idx="8">
                    <c:v>2016-2015</c:v>
                  </c:pt>
                  <c:pt idx="9">
                    <c:v>2017-2016</c:v>
                  </c:pt>
                  <c:pt idx="10">
                    <c:v>2018-2017</c:v>
                  </c:pt>
                  <c:pt idx="11">
                    <c:v>2019-2018</c:v>
                  </c:pt>
                  <c:pt idx="12">
                    <c:v>2020-2019</c:v>
                  </c:pt>
                  <c:pt idx="13">
                    <c:v>(en blanco)</c:v>
                  </c:pt>
                </c:lvl>
                <c:lvl>
                  <c:pt idx="0">
                    <c:v>H   HOTELES Y RESTAURANTES</c:v>
                  </c:pt>
                </c:lvl>
              </c:multiLvlStrCache>
            </c:multiLvlStrRef>
          </c:cat>
          <c:val>
            <c:numRef>
              <c:f>'HOTEL AÑO '!$C$2:$C$17</c:f>
              <c:numCache>
                <c:formatCode>General</c:formatCode>
                <c:ptCount val="14"/>
                <c:pt idx="0">
                  <c:v>2.964314535</c:v>
                </c:pt>
                <c:pt idx="1">
                  <c:v>3.088882825</c:v>
                </c:pt>
                <c:pt idx="2">
                  <c:v>3.34609362</c:v>
                </c:pt>
                <c:pt idx="3">
                  <c:v>3.498797793</c:v>
                </c:pt>
                <c:pt idx="4">
                  <c:v>3.771732167</c:v>
                </c:pt>
                <c:pt idx="5">
                  <c:v>3.531140351</c:v>
                </c:pt>
                <c:pt idx="6">
                  <c:v>3.667958695</c:v>
                </c:pt>
                <c:pt idx="7">
                  <c:v>3.995437378</c:v>
                </c:pt>
                <c:pt idx="8">
                  <c:v>4.102908594</c:v>
                </c:pt>
                <c:pt idx="9">
                  <c:v>3.954812251</c:v>
                </c:pt>
                <c:pt idx="10">
                  <c:v>3.798587389</c:v>
                </c:pt>
                <c:pt idx="11">
                  <c:v>3.650103606</c:v>
                </c:pt>
                <c:pt idx="12">
                  <c:v>2.090520036</c:v>
                </c:pt>
                <c:pt idx="13">
                  <c:v>2.866735537</c:v>
                </c:pt>
              </c:numCache>
            </c:numRef>
          </c:val>
        </c:ser>
        <c:ser>
          <c:idx val="2"/>
          <c:order val="2"/>
          <c:tx>
            <c:strRef>
              <c:f>'HOTEL AÑO '!$D$1</c:f>
              <c:strCache>
                <c:ptCount val="1"/>
                <c:pt idx="0">
                  <c:v>Suma de Valor Corriente</c:v>
                </c:pt>
              </c:strCache>
            </c:strRef>
          </c:tx>
          <c:spPr>
            <a:solidFill>
              <a:schemeClr val="accent3"/>
            </a:solidFill>
            <a:ln>
              <a:noFill/>
            </a:ln>
            <a:effectLst/>
          </c:spPr>
          <c:invertIfNegative val="0"/>
          <c:cat>
            <c:multiLvlStrRef>
              <c:f>'HOTEL AÑO '!$A$2:$A$17</c:f>
              <c:multiLvlStrCache>
                <c:ptCount val="14"/>
                <c:lvl>
                  <c:pt idx="0">
                    <c:v>2008-2007</c:v>
                  </c:pt>
                  <c:pt idx="1">
                    <c:v>2009-2008</c:v>
                  </c:pt>
                  <c:pt idx="2">
                    <c:v>2010-2009</c:v>
                  </c:pt>
                  <c:pt idx="3">
                    <c:v>2011-2010</c:v>
                  </c:pt>
                  <c:pt idx="4">
                    <c:v>2012-2011</c:v>
                  </c:pt>
                  <c:pt idx="5">
                    <c:v>2013-2012</c:v>
                  </c:pt>
                  <c:pt idx="6">
                    <c:v>2014-2013</c:v>
                  </c:pt>
                  <c:pt idx="7">
                    <c:v>2015-2014</c:v>
                  </c:pt>
                  <c:pt idx="8">
                    <c:v>2016-2015</c:v>
                  </c:pt>
                  <c:pt idx="9">
                    <c:v>2017-2016</c:v>
                  </c:pt>
                  <c:pt idx="10">
                    <c:v>2018-2017</c:v>
                  </c:pt>
                  <c:pt idx="11">
                    <c:v>2019-2018</c:v>
                  </c:pt>
                  <c:pt idx="12">
                    <c:v>2020-2019</c:v>
                  </c:pt>
                  <c:pt idx="13">
                    <c:v>(en blanco)</c:v>
                  </c:pt>
                </c:lvl>
                <c:lvl>
                  <c:pt idx="0">
                    <c:v>H   HOTELES Y RESTAURANTES</c:v>
                  </c:pt>
                </c:lvl>
              </c:multiLvlStrCache>
            </c:multiLvlStrRef>
          </c:cat>
          <c:val>
            <c:numRef>
              <c:f>'HOTEL AÑO '!$D$2:$D$17</c:f>
              <c:numCache>
                <c:formatCode>General</c:formatCode>
                <c:ptCount val="14"/>
                <c:pt idx="0">
                  <c:v>665.6</c:v>
                </c:pt>
                <c:pt idx="1">
                  <c:v>661.0</c:v>
                </c:pt>
                <c:pt idx="2">
                  <c:v>702.9</c:v>
                </c:pt>
                <c:pt idx="3">
                  <c:v>805.5</c:v>
                </c:pt>
                <c:pt idx="4">
                  <c:v>877.6</c:v>
                </c:pt>
                <c:pt idx="5">
                  <c:v>900.4</c:v>
                </c:pt>
                <c:pt idx="6">
                  <c:v>907.9</c:v>
                </c:pt>
                <c:pt idx="7">
                  <c:v>951.0</c:v>
                </c:pt>
                <c:pt idx="8">
                  <c:v>972.2</c:v>
                </c:pt>
                <c:pt idx="9">
                  <c:v>995.6</c:v>
                </c:pt>
                <c:pt idx="10">
                  <c:v>965.3</c:v>
                </c:pt>
                <c:pt idx="11">
                  <c:v>961.3</c:v>
                </c:pt>
                <c:pt idx="12">
                  <c:v>437.7</c:v>
                </c:pt>
                <c:pt idx="13">
                  <c:v>610.5</c:v>
                </c:pt>
              </c:numCache>
            </c:numRef>
          </c:val>
        </c:ser>
        <c:ser>
          <c:idx val="3"/>
          <c:order val="3"/>
          <c:tx>
            <c:strRef>
              <c:f>'HOTEL AÑO '!$E$1</c:f>
              <c:strCache>
                <c:ptCount val="1"/>
                <c:pt idx="0">
                  <c:v>Suma de Variación Porcentual Constante</c:v>
                </c:pt>
              </c:strCache>
            </c:strRef>
          </c:tx>
          <c:spPr>
            <a:solidFill>
              <a:schemeClr val="accent4"/>
            </a:solidFill>
            <a:ln>
              <a:noFill/>
            </a:ln>
            <a:effectLst/>
          </c:spPr>
          <c:invertIfNegative val="0"/>
          <c:cat>
            <c:multiLvlStrRef>
              <c:f>'HOTEL AÑO '!$A$2:$A$17</c:f>
              <c:multiLvlStrCache>
                <c:ptCount val="14"/>
                <c:lvl>
                  <c:pt idx="0">
                    <c:v>2008-2007</c:v>
                  </c:pt>
                  <c:pt idx="1">
                    <c:v>2009-2008</c:v>
                  </c:pt>
                  <c:pt idx="2">
                    <c:v>2010-2009</c:v>
                  </c:pt>
                  <c:pt idx="3">
                    <c:v>2011-2010</c:v>
                  </c:pt>
                  <c:pt idx="4">
                    <c:v>2012-2011</c:v>
                  </c:pt>
                  <c:pt idx="5">
                    <c:v>2013-2012</c:v>
                  </c:pt>
                  <c:pt idx="6">
                    <c:v>2014-2013</c:v>
                  </c:pt>
                  <c:pt idx="7">
                    <c:v>2015-2014</c:v>
                  </c:pt>
                  <c:pt idx="8">
                    <c:v>2016-2015</c:v>
                  </c:pt>
                  <c:pt idx="9">
                    <c:v>2017-2016</c:v>
                  </c:pt>
                  <c:pt idx="10">
                    <c:v>2018-2017</c:v>
                  </c:pt>
                  <c:pt idx="11">
                    <c:v>2019-2018</c:v>
                  </c:pt>
                  <c:pt idx="12">
                    <c:v>2020-2019</c:v>
                  </c:pt>
                  <c:pt idx="13">
                    <c:v>(en blanco)</c:v>
                  </c:pt>
                </c:lvl>
                <c:lvl>
                  <c:pt idx="0">
                    <c:v>H   HOTELES Y RESTAURANTES</c:v>
                  </c:pt>
                </c:lvl>
              </c:multiLvlStrCache>
            </c:multiLvlStrRef>
          </c:cat>
          <c:val>
            <c:numRef>
              <c:f>'HOTEL AÑO '!$E$2:$E$17</c:f>
              <c:numCache>
                <c:formatCode>General</c:formatCode>
                <c:ptCount val="14"/>
                <c:pt idx="0">
                  <c:v>135.2</c:v>
                </c:pt>
                <c:pt idx="1">
                  <c:v>91.9</c:v>
                </c:pt>
                <c:pt idx="2">
                  <c:v>147.5</c:v>
                </c:pt>
                <c:pt idx="3">
                  <c:v>228.5</c:v>
                </c:pt>
                <c:pt idx="4">
                  <c:v>311.3</c:v>
                </c:pt>
                <c:pt idx="5">
                  <c:v>85.3</c:v>
                </c:pt>
                <c:pt idx="6">
                  <c:v>220.9</c:v>
                </c:pt>
                <c:pt idx="7">
                  <c:v>330.1</c:v>
                </c:pt>
                <c:pt idx="8">
                  <c:v>214.7</c:v>
                </c:pt>
                <c:pt idx="9">
                  <c:v>84.1</c:v>
                </c:pt>
                <c:pt idx="10">
                  <c:v>6.4</c:v>
                </c:pt>
                <c:pt idx="11">
                  <c:v>-21.4</c:v>
                </c:pt>
                <c:pt idx="12">
                  <c:v>-1316.6</c:v>
                </c:pt>
              </c:numCache>
            </c:numRef>
          </c:val>
        </c:ser>
        <c:ser>
          <c:idx val="4"/>
          <c:order val="4"/>
          <c:tx>
            <c:strRef>
              <c:f>'HOTEL AÑO '!$F$1</c:f>
              <c:strCache>
                <c:ptCount val="1"/>
                <c:pt idx="0">
                  <c:v>Suma de Variación Porcentual Corriente</c:v>
                </c:pt>
              </c:strCache>
            </c:strRef>
          </c:tx>
          <c:spPr>
            <a:solidFill>
              <a:schemeClr val="accent5"/>
            </a:solidFill>
            <a:ln>
              <a:noFill/>
            </a:ln>
            <a:effectLst/>
          </c:spPr>
          <c:invertIfNegative val="0"/>
          <c:cat>
            <c:multiLvlStrRef>
              <c:f>'HOTEL AÑO '!$A$2:$A$17</c:f>
              <c:multiLvlStrCache>
                <c:ptCount val="14"/>
                <c:lvl>
                  <c:pt idx="0">
                    <c:v>2008-2007</c:v>
                  </c:pt>
                  <c:pt idx="1">
                    <c:v>2009-2008</c:v>
                  </c:pt>
                  <c:pt idx="2">
                    <c:v>2010-2009</c:v>
                  </c:pt>
                  <c:pt idx="3">
                    <c:v>2011-2010</c:v>
                  </c:pt>
                  <c:pt idx="4">
                    <c:v>2012-2011</c:v>
                  </c:pt>
                  <c:pt idx="5">
                    <c:v>2013-2012</c:v>
                  </c:pt>
                  <c:pt idx="6">
                    <c:v>2014-2013</c:v>
                  </c:pt>
                  <c:pt idx="7">
                    <c:v>2015-2014</c:v>
                  </c:pt>
                  <c:pt idx="8">
                    <c:v>2016-2015</c:v>
                  </c:pt>
                  <c:pt idx="9">
                    <c:v>2017-2016</c:v>
                  </c:pt>
                  <c:pt idx="10">
                    <c:v>2018-2017</c:v>
                  </c:pt>
                  <c:pt idx="11">
                    <c:v>2019-2018</c:v>
                  </c:pt>
                  <c:pt idx="12">
                    <c:v>2020-2019</c:v>
                  </c:pt>
                  <c:pt idx="13">
                    <c:v>(en blanco)</c:v>
                  </c:pt>
                </c:lvl>
                <c:lvl>
                  <c:pt idx="0">
                    <c:v>H   HOTELES Y RESTAURANTES</c:v>
                  </c:pt>
                </c:lvl>
              </c:multiLvlStrCache>
            </c:multiLvlStrRef>
          </c:cat>
          <c:val>
            <c:numRef>
              <c:f>'HOTEL AÑO '!$F$2:$F$17</c:f>
              <c:numCache>
                <c:formatCode>General</c:formatCode>
                <c:ptCount val="14"/>
                <c:pt idx="0">
                  <c:v>9.0253</c:v>
                </c:pt>
                <c:pt idx="1">
                  <c:v>-0.6912</c:v>
                </c:pt>
                <c:pt idx="2">
                  <c:v>6.3388</c:v>
                </c:pt>
                <c:pt idx="3">
                  <c:v>14.5966</c:v>
                </c:pt>
                <c:pt idx="4">
                  <c:v>8.9509</c:v>
                </c:pt>
                <c:pt idx="5">
                  <c:v>2.5979</c:v>
                </c:pt>
                <c:pt idx="6">
                  <c:v>0.8329</c:v>
                </c:pt>
                <c:pt idx="7">
                  <c:v>4.7472</c:v>
                </c:pt>
                <c:pt idx="8">
                  <c:v>2.2292</c:v>
                </c:pt>
                <c:pt idx="9">
                  <c:v>2.4069</c:v>
                </c:pt>
                <c:pt idx="10">
                  <c:v>-3.0434</c:v>
                </c:pt>
                <c:pt idx="11">
                  <c:v>-0.4144</c:v>
                </c:pt>
                <c:pt idx="12">
                  <c:v>-54.468</c:v>
                </c:pt>
              </c:numCache>
            </c:numRef>
          </c:val>
        </c:ser>
        <c:dLbls>
          <c:showLegendKey val="0"/>
          <c:showVal val="0"/>
          <c:showCatName val="0"/>
          <c:showSerName val="0"/>
          <c:showPercent val="0"/>
          <c:showBubbleSize val="0"/>
        </c:dLbls>
        <c:gapWidth val="219"/>
        <c:overlap val="-27"/>
        <c:axId val="1102470704"/>
        <c:axId val="1102471064"/>
      </c:barChart>
      <c:catAx>
        <c:axId val="1102470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102471064"/>
        <c:crosses val="autoZero"/>
        <c:auto val="1"/>
        <c:lblAlgn val="ctr"/>
        <c:lblOffset val="100"/>
        <c:noMultiLvlLbl val="0"/>
      </c:catAx>
      <c:valAx>
        <c:axId val="1102471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1024707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[ExpoFrancasCarbonVegetal.xlsx]Zonas!TablaDinámica20</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Zonas!$B$3</c:f>
              <c:strCache>
                <c:ptCount val="1"/>
                <c:pt idx="0">
                  <c:v>Total</c:v>
                </c:pt>
              </c:strCache>
            </c:strRef>
          </c:tx>
          <c:spPr>
            <a:solidFill>
              <a:schemeClr val="accent1"/>
            </a:solidFill>
            <a:ln>
              <a:noFill/>
            </a:ln>
            <a:effectLst/>
          </c:spPr>
          <c:invertIfNegative val="0"/>
          <c:cat>
            <c:multiLvlStrRef>
              <c:f>Zonas!$A$4:$A$9</c:f>
              <c:multiLvlStrCache>
                <c:ptCount val="3"/>
                <c:lvl>
                  <c:pt idx="0">
                    <c:v>2012</c:v>
                  </c:pt>
                  <c:pt idx="1">
                    <c:v>2013</c:v>
                  </c:pt>
                  <c:pt idx="2">
                    <c:v>2016</c:v>
                  </c:pt>
                </c:lvl>
                <c:lvl>
                  <c:pt idx="0">
                    <c:v>4202.11.00</c:v>
                  </c:pt>
                </c:lvl>
                <c:lvl>
                  <c:pt idx="0">
                    <c:v>Área Económica Especial Panamá Pacífico</c:v>
                  </c:pt>
                </c:lvl>
              </c:multiLvlStrCache>
            </c:multiLvlStrRef>
          </c:cat>
          <c:val>
            <c:numRef>
              <c:f>Zonas!$B$4:$B$9</c:f>
              <c:numCache>
                <c:formatCode>General</c:formatCode>
                <c:ptCount val="3"/>
                <c:pt idx="0">
                  <c:v>3.0</c:v>
                </c:pt>
                <c:pt idx="1">
                  <c:v>138.0</c:v>
                </c:pt>
                <c:pt idx="2">
                  <c:v>200.0</c:v>
                </c:pt>
              </c:numCache>
            </c:numRef>
          </c:val>
        </c:ser>
        <c:dLbls>
          <c:showLegendKey val="0"/>
          <c:showVal val="0"/>
          <c:showCatName val="0"/>
          <c:showSerName val="0"/>
          <c:showPercent val="0"/>
          <c:showBubbleSize val="0"/>
        </c:dLbls>
        <c:gapWidth val="182"/>
        <c:axId val="1320025216"/>
        <c:axId val="1320031696"/>
      </c:barChart>
      <c:catAx>
        <c:axId val="13200252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20031696"/>
        <c:crosses val="autoZero"/>
        <c:auto val="1"/>
        <c:lblAlgn val="ctr"/>
        <c:lblOffset val="100"/>
        <c:noMultiLvlLbl val="0"/>
      </c:catAx>
      <c:valAx>
        <c:axId val="13200316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200252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[ExpoFrancasCarbonVegetal.xlsx]Zonas Pacifico!TablaDinámica20</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'Zonas Pacifico'!$B$3</c:f>
              <c:strCache>
                <c:ptCount val="1"/>
                <c:pt idx="0">
                  <c:v>Total</c:v>
                </c:pt>
              </c:strCache>
            </c:strRef>
          </c:tx>
          <c:spPr>
            <a:solidFill>
              <a:schemeClr val="accent1"/>
            </a:solidFill>
            <a:ln>
              <a:noFill/>
            </a:ln>
            <a:effectLst/>
          </c:spPr>
          <c:invertIfNegative val="0"/>
          <c:cat>
            <c:multiLvlStrRef>
              <c:f>'Zonas Pacifico'!$A$4:$A$9</c:f>
              <c:multiLvlStrCache>
                <c:ptCount val="3"/>
                <c:lvl>
                  <c:pt idx="0">
                    <c:v>2012</c:v>
                  </c:pt>
                  <c:pt idx="1">
                    <c:v>2013</c:v>
                  </c:pt>
                  <c:pt idx="2">
                    <c:v>2016</c:v>
                  </c:pt>
                </c:lvl>
                <c:lvl>
                  <c:pt idx="0">
                    <c:v>4202.11.00</c:v>
                  </c:pt>
                </c:lvl>
                <c:lvl>
                  <c:pt idx="0">
                    <c:v>Área Económica Especial Panamá Pacífico</c:v>
                  </c:pt>
                </c:lvl>
              </c:multiLvlStrCache>
            </c:multiLvlStrRef>
          </c:cat>
          <c:val>
            <c:numRef>
              <c:f>'Zonas Pacifico'!$B$4:$B$9</c:f>
              <c:numCache>
                <c:formatCode>General</c:formatCode>
                <c:ptCount val="3"/>
                <c:pt idx="0">
                  <c:v>3.0</c:v>
                </c:pt>
                <c:pt idx="1">
                  <c:v>138.0</c:v>
                </c:pt>
                <c:pt idx="2">
                  <c:v>200.0</c:v>
                </c:pt>
              </c:numCache>
            </c:numRef>
          </c:val>
        </c:ser>
        <c:dLbls>
          <c:showLegendKey val="0"/>
          <c:showVal val="0"/>
          <c:showCatName val="0"/>
          <c:showSerName val="0"/>
          <c:showPercent val="0"/>
          <c:showBubbleSize val="0"/>
        </c:dLbls>
        <c:gapWidth val="219"/>
        <c:overlap val="-27"/>
        <c:axId val="929299112"/>
        <c:axId val="414473664"/>
      </c:barChart>
      <c:catAx>
        <c:axId val="929299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14473664"/>
        <c:crosses val="autoZero"/>
        <c:auto val="1"/>
        <c:lblAlgn val="ctr"/>
        <c:lblOffset val="100"/>
        <c:noMultiLvlLbl val="0"/>
      </c:catAx>
      <c:valAx>
        <c:axId val="414473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9292991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[ExpoFrancasCarbonVegetal.xlsx]PESO NETO POR AÑO!TablaDinámica4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A"/>
              <a:t>Total Peso</a:t>
            </a:r>
            <a:r>
              <a:rPr lang="es-PA" baseline="0"/>
              <a:t> Bruto</a:t>
            </a:r>
            <a:endParaRPr lang="es-P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'PESO NETO POR AÑO'!$B$1</c:f>
              <c:strCache>
                <c:ptCount val="1"/>
                <c:pt idx="0">
                  <c:v>Total</c:v>
                </c:pt>
              </c:strCache>
            </c:strRef>
          </c:tx>
          <c:spPr>
            <a:solidFill>
              <a:schemeClr val="accent1"/>
            </a:solidFill>
            <a:ln>
              <a:noFill/>
            </a:ln>
            <a:effectLst/>
          </c:spPr>
          <c:invertIfNegative val="0"/>
          <c:cat>
            <c:strRef>
              <c:f>'PESO NETO POR AÑO'!$A$2:$A$15</c:f>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 (P)</c:v>
                </c:pt>
              </c:strCache>
            </c:strRef>
          </c:cat>
          <c:val>
            <c:numRef>
              <c:f>'PESO NETO POR AÑO'!$B$2:$B$15</c:f>
              <c:numCache>
                <c:formatCode>General</c:formatCode>
                <c:ptCount val="13"/>
                <c:pt idx="0">
                  <c:v>60617431</c:v>
                </c:pt>
                <c:pt idx="1">
                  <c:v>80900328</c:v>
                </c:pt>
                <c:pt idx="2">
                  <c:v>8.838677E+7</c:v>
                </c:pt>
                <c:pt idx="3">
                  <c:v>110156333</c:v>
                </c:pt>
                <c:pt idx="4">
                  <c:v>74904197</c:v>
                </c:pt>
                <c:pt idx="5">
                  <c:v>7.129691E+7</c:v>
                </c:pt>
                <c:pt idx="6">
                  <c:v>74488047</c:v>
                </c:pt>
                <c:pt idx="7">
                  <c:v>89154144</c:v>
                </c:pt>
                <c:pt idx="8">
                  <c:v>87462274</c:v>
                </c:pt>
                <c:pt idx="9">
                  <c:v>75254985</c:v>
                </c:pt>
                <c:pt idx="10">
                  <c:v>92735323</c:v>
                </c:pt>
                <c:pt idx="11">
                  <c:v>114187421</c:v>
                </c:pt>
                <c:pt idx="12">
                  <c:v>79011745</c:v>
                </c:pt>
              </c:numCache>
            </c:numRef>
          </c:val>
        </c:ser>
        <c:dLbls>
          <c:showLegendKey val="0"/>
          <c:showVal val="0"/>
          <c:showCatName val="0"/>
          <c:showSerName val="0"/>
          <c:showPercent val="0"/>
          <c:showBubbleSize val="0"/>
        </c:dLbls>
        <c:gapWidth val="219"/>
        <c:overlap val="-27"/>
        <c:axId val="1001201832"/>
        <c:axId val="1001202192"/>
      </c:barChart>
      <c:catAx>
        <c:axId val="1001201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001202192"/>
        <c:crosses val="autoZero"/>
        <c:auto val="1"/>
        <c:lblAlgn val="ctr"/>
        <c:lblOffset val="100"/>
        <c:noMultiLvlLbl val="0"/>
      </c:catAx>
      <c:valAx>
        <c:axId val="1001202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0012018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[ExpoFrancasCarbonVegetal.xlsx]PESO POR ZONA!TablaDinámica4</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'PESO POR ZONA'!$B$1</c:f>
              <c:strCache>
                <c:ptCount val="1"/>
                <c:pt idx="0">
                  <c:v>Total</c:v>
                </c:pt>
              </c:strCache>
            </c:strRef>
          </c:tx>
          <c:spPr>
            <a:solidFill>
              <a:schemeClr val="accent1"/>
            </a:solidFill>
            <a:ln>
              <a:noFill/>
            </a:ln>
            <a:effectLst/>
          </c:spPr>
          <c:invertIfNegative val="0"/>
          <c:cat>
            <c:multiLvlStrRef>
              <c:f>'PESO POR ZONA'!$A$2:$A$11</c:f>
              <c:multiLvlStrCache>
                <c:ptCount val="3"/>
                <c:lvl>
                  <c:pt idx="0">
                    <c:v>4202.11.00</c:v>
                  </c:pt>
                  <c:pt idx="1">
                    <c:v>4202.11.00</c:v>
                  </c:pt>
                  <c:pt idx="2">
                    <c:v>4202.11.00</c:v>
                  </c:pt>
                </c:lvl>
                <c:lvl>
                  <c:pt idx="0">
                    <c:v>Área Económica Especial Panamá Pacífico</c:v>
                  </c:pt>
                  <c:pt idx="1">
                    <c:v>Área Económica Especial Panamá Pacífico</c:v>
                  </c:pt>
                  <c:pt idx="2">
                    <c:v>Área Económica Especial Panamá Pacífico</c:v>
                  </c:pt>
                </c:lvl>
                <c:lvl>
                  <c:pt idx="0">
                    <c:v>2012</c:v>
                  </c:pt>
                  <c:pt idx="1">
                    <c:v>2013</c:v>
                  </c:pt>
                  <c:pt idx="2">
                    <c:v>2016</c:v>
                  </c:pt>
                </c:lvl>
              </c:multiLvlStrCache>
            </c:multiLvlStrRef>
          </c:cat>
          <c:val>
            <c:numRef>
              <c:f>'PESO POR ZONA'!$B$2:$B$11</c:f>
              <c:numCache>
                <c:formatCode>General</c:formatCode>
                <c:ptCount val="3"/>
                <c:pt idx="0">
                  <c:v>3.0</c:v>
                </c:pt>
                <c:pt idx="1">
                  <c:v>138.0</c:v>
                </c:pt>
                <c:pt idx="2">
                  <c:v>200.0</c:v>
                </c:pt>
              </c:numCache>
            </c:numRef>
          </c:val>
        </c:ser>
        <c:dLbls>
          <c:showLegendKey val="0"/>
          <c:showVal val="0"/>
          <c:showCatName val="0"/>
          <c:showSerName val="0"/>
          <c:showPercent val="0"/>
          <c:showBubbleSize val="0"/>
        </c:dLbls>
        <c:gapWidth val="219"/>
        <c:overlap val="-27"/>
        <c:axId val="1001201832"/>
        <c:axId val="1001202192"/>
      </c:barChart>
      <c:catAx>
        <c:axId val="1001201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001202192"/>
        <c:crosses val="autoZero"/>
        <c:auto val="1"/>
        <c:lblAlgn val="ctr"/>
        <c:lblOffset val="100"/>
        <c:noMultiLvlLbl val="0"/>
      </c:catAx>
      <c:valAx>
        <c:axId val="1001202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0012018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[ExpoFrancasCarbonVegetal.xlsx]VIA DE TRANSPORTE!TablaDinámica2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'VIA DE TRANSPORTE'!$B$3</c:f>
              <c:strCache>
                <c:ptCount val="1"/>
                <c:pt idx="0">
                  <c:v>Suma de Peso bruto</c:v>
                </c:pt>
              </c:strCache>
            </c:strRef>
          </c:tx>
          <c:spPr>
            <a:solidFill>
              <a:schemeClr val="accent1"/>
            </a:solidFill>
            <a:ln>
              <a:noFill/>
            </a:ln>
            <a:effectLst/>
          </c:spPr>
          <c:invertIfNegative val="0"/>
          <c:cat>
            <c:multiLvlStrRef>
              <c:f>'VIA DE TRANSPORTE'!$A$4:$A$6</c:f>
              <c:multiLvlStrCache>
                <c:ptCount val="1"/>
                <c:lvl>
                  <c:pt idx="0">
                    <c:v>4202.11.00</c:v>
                  </c:pt>
                </c:lvl>
                <c:lvl>
                  <c:pt idx="0">
                    <c:v>Terrestre</c:v>
                  </c:pt>
                </c:lvl>
              </c:multiLvlStrCache>
            </c:multiLvlStrRef>
          </c:cat>
          <c:val>
            <c:numRef>
              <c:f>'VIA DE TRANSPORTE'!$B$4:$B$6</c:f>
              <c:numCache>
                <c:formatCode>General</c:formatCode>
                <c:ptCount val="1"/>
                <c:pt idx="0">
                  <c:v>341.0</c:v>
                </c:pt>
              </c:numCache>
            </c:numRef>
          </c:val>
        </c:ser>
        <c:ser>
          <c:idx val="1"/>
          <c:order val="1"/>
          <c:tx>
            <c:strRef>
              <c:f>'VIA DE TRANSPORTE'!$C$3</c:f>
              <c:strCache>
                <c:ptCount val="1"/>
                <c:pt idx="0">
                  <c:v>Suma de Valor FOB</c:v>
                </c:pt>
              </c:strCache>
            </c:strRef>
          </c:tx>
          <c:spPr>
            <a:solidFill>
              <a:schemeClr val="accent2"/>
            </a:solidFill>
            <a:ln>
              <a:noFill/>
            </a:ln>
            <a:effectLst/>
          </c:spPr>
          <c:invertIfNegative val="0"/>
          <c:cat>
            <c:multiLvlStrRef>
              <c:f>'VIA DE TRANSPORTE'!$A$4:$A$6</c:f>
              <c:multiLvlStrCache>
                <c:ptCount val="1"/>
                <c:lvl>
                  <c:pt idx="0">
                    <c:v>4202.11.00</c:v>
                  </c:pt>
                </c:lvl>
                <c:lvl>
                  <c:pt idx="0">
                    <c:v>Terrestre</c:v>
                  </c:pt>
                </c:lvl>
              </c:multiLvlStrCache>
            </c:multiLvlStrRef>
          </c:cat>
          <c:val>
            <c:numRef>
              <c:f>'VIA DE TRANSPORTE'!$C$4:$C$6</c:f>
              <c:numCache>
                <c:formatCode>General</c:formatCode>
                <c:ptCount val="1"/>
                <c:pt idx="0">
                  <c:v>9924.0</c:v>
                </c:pt>
              </c:numCache>
            </c:numRef>
          </c:val>
        </c:ser>
        <c:dLbls>
          <c:showLegendKey val="0"/>
          <c:showVal val="0"/>
          <c:showCatName val="0"/>
          <c:showSerName val="0"/>
          <c:showPercent val="0"/>
          <c:showBubbleSize val="0"/>
        </c:dLbls>
        <c:gapWidth val="219"/>
        <c:overlap val="-27"/>
        <c:axId val="795128264"/>
        <c:axId val="795121784"/>
      </c:barChart>
      <c:catAx>
        <c:axId val="795128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795121784"/>
        <c:crosses val="autoZero"/>
        <c:auto val="1"/>
        <c:lblAlgn val="ctr"/>
        <c:lblOffset val="100"/>
        <c:noMultiLvlLbl val="0"/>
      </c:catAx>
      <c:valAx>
        <c:axId val="795121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7951282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A"/>
              <a:t>CORRELACIÓN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lineMarker"/>
        <c:varyColors val="0"/>
        <c:ser>
          <c:idx val="0"/>
          <c:order val="0"/>
          <c:tx>
            <c:strRef>
              <c:f>'Valor FOB_CE_T_EZONASFRANCAS_da'!$G$1</c:f>
              <c:strCache>
                <c:ptCount val="1"/>
                <c:pt idx="0">
                  <c:v>Peso bruto</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trendlineLbl>
          </c:trendline>
          <c:xVal>
            <c:numRef>
              <c:f>'Valor FOB_CE_T_EZONASFRANCAS_da'!$F$2:$F$148520</c:f>
              <c:numCache>
                <c:formatCode>General</c:formatCode>
                <c:ptCount val="3"/>
                <c:pt idx="0">
                  <c:v>285.0</c:v>
                </c:pt>
                <c:pt idx="1">
                  <c:v>116.0</c:v>
                </c:pt>
                <c:pt idx="2">
                  <c:v>18340.0</c:v>
                </c:pt>
              </c:numCache>
            </c:numRef>
          </c:xVal>
          <c:yVal>
            <c:numRef>
              <c:f>'Valor FOB_CE_T_EZONASFRANCAS_da'!$G$2:$G$148520</c:f>
              <c:numCache>
                <c:formatCode>General</c:formatCode>
                <c:ptCount val="3"/>
                <c:pt idx="0">
                  <c:v>43.0</c:v>
                </c:pt>
                <c:pt idx="1">
                  <c:v>17.0</c:v>
                </c:pt>
                <c:pt idx="2">
                  <c:v>333.0</c:v>
                </c:pt>
              </c:numCache>
            </c:numRef>
          </c:yVal>
          <c:smooth val="0"/>
        </c:ser>
        <c:dLbls>
          <c:showLegendKey val="0"/>
          <c:showVal val="0"/>
          <c:showCatName val="0"/>
          <c:showSerName val="0"/>
          <c:showPercent val="0"/>
          <c:showBubbleSize val="0"/>
        </c:dLbls>
        <c:axId val="690312584"/>
        <c:axId val="690307904"/>
      </c:scatterChart>
      <c:valAx>
        <c:axId val="6903125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690307904"/>
        <c:crosses val="autoZero"/>
        <c:crossBetween val="midCat"/>
      </c:valAx>
      <c:valAx>
        <c:axId val="690307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690312584"/>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[ExpoMedicaBelice.xlsx]TopPaises!Tabla dinámica2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A"/>
              <a:t>Paises a los que se le exporta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TopPaises!$B$4</c:f>
              <c:strCache>
                <c:ptCount val="1"/>
                <c:pt idx="0">
                  <c:v>Total</c:v>
                </c:pt>
              </c:strCache>
            </c:strRef>
          </c:tx>
          <c:spPr>
            <a:solidFill>
              <a:schemeClr val="accent1"/>
            </a:solidFill>
            <a:ln>
              <a:noFill/>
            </a:ln>
            <a:effectLst/>
          </c:spPr>
          <c:invertIfNegative val="0"/>
          <c:cat>
            <c:strRef>
              <c:f>TopPaises!$A$5:$A$18</c:f>
              <c:strCache>
                <c:ptCount val="13"/>
                <c:pt idx="0">
                  <c:v>236</c:v>
                </c:pt>
                <c:pt idx="1">
                  <c:v>311</c:v>
                </c:pt>
                <c:pt idx="2">
                  <c:v>213</c:v>
                </c:pt>
                <c:pt idx="3">
                  <c:v>353</c:v>
                </c:pt>
                <c:pt idx="4">
                  <c:v>231</c:v>
                </c:pt>
                <c:pt idx="5">
                  <c:v>217</c:v>
                </c:pt>
                <c:pt idx="6">
                  <c:v>214</c:v>
                </c:pt>
                <c:pt idx="7">
                  <c:v>232</c:v>
                </c:pt>
                <c:pt idx="8">
                  <c:v>263</c:v>
                </c:pt>
                <c:pt idx="9">
                  <c:v>351</c:v>
                </c:pt>
                <c:pt idx="10">
                  <c:v>107</c:v>
                </c:pt>
                <c:pt idx="11">
                  <c:v>218</c:v>
                </c:pt>
                <c:pt idx="12">
                  <c:v>105</c:v>
                </c:pt>
              </c:strCache>
            </c:strRef>
          </c:cat>
          <c:val>
            <c:numRef>
              <c:f>TopPaises!$B$5:$B$18</c:f>
              <c:numCache>
                <c:formatCode>General</c:formatCode>
                <c:ptCount val="13"/>
                <c:pt idx="0">
                  <c:v>2636557.0</c:v>
                </c:pt>
                <c:pt idx="1">
                  <c:v>279945.0</c:v>
                </c:pt>
                <c:pt idx="2">
                  <c:v>21149.0</c:v>
                </c:pt>
                <c:pt idx="3">
                  <c:v>10260.0</c:v>
                </c:pt>
                <c:pt idx="4">
                  <c:v>8096.0</c:v>
                </c:pt>
                <c:pt idx="5">
                  <c:v>6285.0</c:v>
                </c:pt>
                <c:pt idx="6">
                  <c:v>5666.0</c:v>
                </c:pt>
                <c:pt idx="7">
                  <c:v>3599.0</c:v>
                </c:pt>
                <c:pt idx="8">
                  <c:v>2852.0</c:v>
                </c:pt>
                <c:pt idx="9">
                  <c:v>2599.0</c:v>
                </c:pt>
                <c:pt idx="10">
                  <c:v>1691.0</c:v>
                </c:pt>
                <c:pt idx="11">
                  <c:v>1211.0</c:v>
                </c:pt>
                <c:pt idx="12">
                  <c:v>542.0</c:v>
                </c:pt>
              </c:numCache>
            </c:numRef>
          </c:val>
        </c:ser>
        <c:dLbls>
          <c:showLegendKey val="0"/>
          <c:showVal val="0"/>
          <c:showCatName val="0"/>
          <c:showSerName val="0"/>
          <c:showPercent val="0"/>
          <c:showBubbleSize val="0"/>
        </c:dLbls>
        <c:gapWidth val="219"/>
        <c:overlap val="-27"/>
        <c:axId val="616944024"/>
        <c:axId val="616939712"/>
      </c:barChart>
      <c:catAx>
        <c:axId val="616944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616939712"/>
        <c:crosses val="autoZero"/>
        <c:auto val="1"/>
        <c:lblAlgn val="ctr"/>
        <c:lblOffset val="100"/>
        <c:noMultiLvlLbl val="0"/>
      </c:catAx>
      <c:valAx>
        <c:axId val="616939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6169440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[ExpoMedicaBelice.xlsx]Año!Tabla dinámica4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A"/>
              <a:t>Total</a:t>
            </a:r>
            <a:r>
              <a:rPr lang="es-PA" baseline="0"/>
              <a:t> peso bruto exportado</a:t>
            </a:r>
            <a:endParaRPr lang="es-P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Año!$B$3</c:f>
              <c:strCache>
                <c:ptCount val="1"/>
                <c:pt idx="0">
                  <c:v>Total</c:v>
                </c:pt>
              </c:strCache>
            </c:strRef>
          </c:tx>
          <c:spPr>
            <a:solidFill>
              <a:schemeClr val="accent1"/>
            </a:solidFill>
            <a:ln>
              <a:noFill/>
            </a:ln>
            <a:effectLst/>
          </c:spPr>
          <c:invertIfNegative val="0"/>
          <c:cat>
            <c:strRef>
              <c:f>Año!$A$4:$A$8</c:f>
              <c:strCache>
                <c:ptCount val="4"/>
                <c:pt idx="0">
                  <c:v>2018</c:v>
                </c:pt>
                <c:pt idx="1">
                  <c:v>2019</c:v>
                </c:pt>
                <c:pt idx="2">
                  <c:v>2020</c:v>
                </c:pt>
                <c:pt idx="3">
                  <c:v>2021</c:v>
                </c:pt>
              </c:strCache>
            </c:strRef>
          </c:cat>
          <c:val>
            <c:numRef>
              <c:f>Año!$B$4:$B$8</c:f>
              <c:numCache>
                <c:formatCode>General</c:formatCode>
                <c:ptCount val="4"/>
                <c:pt idx="0">
                  <c:v>234226.0</c:v>
                </c:pt>
                <c:pt idx="1">
                  <c:v>804762.0</c:v>
                </c:pt>
                <c:pt idx="2">
                  <c:v>748415.0</c:v>
                </c:pt>
                <c:pt idx="3">
                  <c:v>849154.0</c:v>
                </c:pt>
              </c:numCache>
            </c:numRef>
          </c:val>
        </c:ser>
        <c:dLbls>
          <c:showLegendKey val="0"/>
          <c:showVal val="0"/>
          <c:showCatName val="0"/>
          <c:showSerName val="0"/>
          <c:showPercent val="0"/>
          <c:showBubbleSize val="0"/>
        </c:dLbls>
        <c:gapWidth val="219"/>
        <c:overlap val="-27"/>
        <c:axId val="616944808"/>
        <c:axId val="616940888"/>
      </c:barChart>
      <c:catAx>
        <c:axId val="616944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616940888"/>
        <c:crosses val="autoZero"/>
        <c:auto val="1"/>
        <c:lblAlgn val="ctr"/>
        <c:lblOffset val="100"/>
        <c:noMultiLvlLbl val="0"/>
      </c:catAx>
      <c:valAx>
        <c:axId val="616940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6169448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[ExpoMedicaBelice.xlsx]Mes!Tabla dinámica3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peso bruto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s>
    <c:plotArea>
      <c:layout/>
      <c:barChart>
        <c:barDir val="col"/>
        <c:grouping val="clustered"/>
        <c:varyColors val="0"/>
        <c:ser>
          <c:idx val="0"/>
          <c:order val="0"/>
          <c:tx>
            <c:strRef>
              <c:f>Mes!$B$3</c:f>
              <c:strCache>
                <c:ptCount val="1"/>
                <c:pt idx="0">
                  <c:v>Total</c:v>
                </c:pt>
              </c:strCache>
            </c:strRef>
          </c:tx>
          <c:spPr>
            <a:solidFill>
              <a:schemeClr val="accent1"/>
            </a:solidFill>
            <a:ln>
              <a:noFill/>
            </a:ln>
            <a:effectLst/>
          </c:spPr>
          <c:invertIfNegative val="0"/>
          <c:cat>
            <c:strRef>
              <c:f>Mes!$A$4:$A$16</c:f>
              <c:strCache>
                <c:ptCount val="12"/>
                <c:pt idx="0">
                  <c:v>Agosto</c:v>
                </c:pt>
                <c:pt idx="1">
                  <c:v>Diciembre</c:v>
                </c:pt>
                <c:pt idx="2">
                  <c:v>Noviembre</c:v>
                </c:pt>
                <c:pt idx="3">
                  <c:v>Mayo</c:v>
                </c:pt>
                <c:pt idx="4">
                  <c:v>Septiembre</c:v>
                </c:pt>
                <c:pt idx="5">
                  <c:v>Octubre</c:v>
                </c:pt>
                <c:pt idx="6">
                  <c:v>Abril</c:v>
                </c:pt>
                <c:pt idx="7">
                  <c:v>Julio</c:v>
                </c:pt>
                <c:pt idx="8">
                  <c:v>Junio</c:v>
                </c:pt>
                <c:pt idx="9">
                  <c:v>Enero</c:v>
                </c:pt>
                <c:pt idx="10">
                  <c:v>Febrero</c:v>
                </c:pt>
                <c:pt idx="11">
                  <c:v>Marzo</c:v>
                </c:pt>
              </c:strCache>
            </c:strRef>
          </c:cat>
          <c:val>
            <c:numRef>
              <c:f>Mes!$B$4:$B$16</c:f>
              <c:numCache>
                <c:formatCode>General</c:formatCode>
                <c:ptCount val="12"/>
                <c:pt idx="0">
                  <c:v>257672.0</c:v>
                </c:pt>
                <c:pt idx="1">
                  <c:v>242242.0</c:v>
                </c:pt>
                <c:pt idx="2">
                  <c:v>241208.0</c:v>
                </c:pt>
                <c:pt idx="3">
                  <c:v>228650.0</c:v>
                </c:pt>
                <c:pt idx="4">
                  <c:v>226810.0</c:v>
                </c:pt>
                <c:pt idx="5">
                  <c:v>216340.0</c:v>
                </c:pt>
                <c:pt idx="6">
                  <c:v>213297.0</c:v>
                </c:pt>
                <c:pt idx="7">
                  <c:v>208792.0</c:v>
                </c:pt>
                <c:pt idx="8">
                  <c:v>208570.0</c:v>
                </c:pt>
                <c:pt idx="9">
                  <c:v>205102.0</c:v>
                </c:pt>
                <c:pt idx="10">
                  <c:v>196889.0</c:v>
                </c:pt>
                <c:pt idx="11">
                  <c:v>190985.0</c:v>
                </c:pt>
              </c:numCache>
            </c:numRef>
          </c:val>
        </c:ser>
        <c:dLbls>
          <c:showLegendKey val="0"/>
          <c:showVal val="0"/>
          <c:showCatName val="0"/>
          <c:showSerName val="0"/>
          <c:showPercent val="0"/>
          <c:showBubbleSize val="0"/>
        </c:dLbls>
        <c:gapWidth val="219"/>
        <c:overlap val="-27"/>
        <c:axId val="616941280"/>
        <c:axId val="616937752"/>
      </c:barChart>
      <c:catAx>
        <c:axId val="616941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616937752"/>
        <c:crosses val="autoZero"/>
        <c:auto val="1"/>
        <c:lblAlgn val="ctr"/>
        <c:lblOffset val="100"/>
        <c:noMultiLvlLbl val="0"/>
      </c:catAx>
      <c:valAx>
        <c:axId val="616937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6169412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[ExpoMedicaBelice.xlsx]FOB!Tabla dinámica5</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FOB!$B$5</c:f>
              <c:strCache>
                <c:ptCount val="1"/>
                <c:pt idx="0">
                  <c:v>Total</c:v>
                </c:pt>
              </c:strCache>
            </c:strRef>
          </c:tx>
          <c:spPr>
            <a:solidFill>
              <a:schemeClr val="accent1"/>
            </a:solidFill>
            <a:ln>
              <a:noFill/>
            </a:ln>
            <a:effectLst/>
          </c:spPr>
          <c:invertIfNegative val="0"/>
          <c:cat>
            <c:strRef>
              <c:f>FOB!$A$6:$A$18</c:f>
              <c:strCache>
                <c:ptCount val="12"/>
                <c:pt idx="0">
                  <c:v>Agosto</c:v>
                </c:pt>
                <c:pt idx="1">
                  <c:v>Diciembre</c:v>
                </c:pt>
                <c:pt idx="2">
                  <c:v>Noviembre</c:v>
                </c:pt>
                <c:pt idx="3">
                  <c:v>Septiembre</c:v>
                </c:pt>
                <c:pt idx="4">
                  <c:v>Mayo</c:v>
                </c:pt>
                <c:pt idx="5">
                  <c:v>Abril</c:v>
                </c:pt>
                <c:pt idx="6">
                  <c:v>Octubre</c:v>
                </c:pt>
                <c:pt idx="7">
                  <c:v>Junio</c:v>
                </c:pt>
                <c:pt idx="8">
                  <c:v>Julio</c:v>
                </c:pt>
                <c:pt idx="9">
                  <c:v>Enero</c:v>
                </c:pt>
                <c:pt idx="10">
                  <c:v>Febrero</c:v>
                </c:pt>
                <c:pt idx="11">
                  <c:v>Marzo</c:v>
                </c:pt>
              </c:strCache>
            </c:strRef>
          </c:cat>
          <c:val>
            <c:numRef>
              <c:f>FOB!$B$6:$B$18</c:f>
              <c:numCache>
                <c:formatCode>General</c:formatCode>
                <c:ptCount val="12"/>
                <c:pt idx="0">
                  <c:v>7532817.0</c:v>
                </c:pt>
                <c:pt idx="1">
                  <c:v>7325940.0</c:v>
                </c:pt>
                <c:pt idx="2">
                  <c:v>7149896.0</c:v>
                </c:pt>
                <c:pt idx="3">
                  <c:v>6752526.0</c:v>
                </c:pt>
                <c:pt idx="4">
                  <c:v>6699724.0</c:v>
                </c:pt>
                <c:pt idx="5">
                  <c:v>6419386.0</c:v>
                </c:pt>
                <c:pt idx="6">
                  <c:v>6394075.0</c:v>
                </c:pt>
                <c:pt idx="7">
                  <c:v>6242678.0</c:v>
                </c:pt>
                <c:pt idx="8">
                  <c:v>6226842.0</c:v>
                </c:pt>
                <c:pt idx="9">
                  <c:v>5902945.0</c:v>
                </c:pt>
                <c:pt idx="10">
                  <c:v>5806969.0</c:v>
                </c:pt>
                <c:pt idx="11">
                  <c:v>5632566.0</c:v>
                </c:pt>
              </c:numCache>
            </c:numRef>
          </c:val>
        </c:ser>
        <c:dLbls>
          <c:showLegendKey val="0"/>
          <c:showVal val="0"/>
          <c:showCatName val="0"/>
          <c:showSerName val="0"/>
          <c:showPercent val="0"/>
          <c:showBubbleSize val="0"/>
        </c:dLbls>
        <c:gapWidth val="219"/>
        <c:overlap val="-27"/>
        <c:axId val="616938144"/>
        <c:axId val="616940496"/>
      </c:barChart>
      <c:catAx>
        <c:axId val="616938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616940496"/>
        <c:crosses val="autoZero"/>
        <c:auto val="1"/>
        <c:lblAlgn val="ctr"/>
        <c:lblOffset val="100"/>
        <c:noMultiLvlLbl val="0"/>
      </c:catAx>
      <c:valAx>
        <c:axId val="616940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6169381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[PIB ANUAL POR CATEGORIAS EDITADO.xlsx]SUM AÑO TODO!TablaDinámica4</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'SUM AÑO TODO'!$B$3</c:f>
              <c:strCache>
                <c:ptCount val="1"/>
                <c:pt idx="0">
                  <c:v>Suma de Valor Corriente</c:v>
                </c:pt>
              </c:strCache>
            </c:strRef>
          </c:tx>
          <c:spPr>
            <a:ln w="28575" cap="rnd">
              <a:solidFill>
                <a:schemeClr val="accent1"/>
              </a:solidFill>
              <a:round/>
            </a:ln>
            <a:effectLst/>
          </c:spPr>
          <c:marker>
            <c:symbol val="none"/>
          </c:marker>
          <c:cat>
            <c:strRef>
              <c:f>'SUM AÑO TODO'!$A$4:$A$18</c:f>
              <c:strCache>
                <c:ptCount val="14"/>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 (P)</c:v>
                </c:pt>
                <c:pt idx="13">
                  <c:v>2020 (E)</c:v>
                </c:pt>
              </c:strCache>
            </c:strRef>
          </c:cat>
          <c:val>
            <c:numRef>
              <c:f>'SUM AÑO TODO'!$B$4:$B$18</c:f>
              <c:numCache>
                <c:formatCode>General</c:formatCode>
                <c:ptCount val="14"/>
                <c:pt idx="0">
                  <c:v>63043.5000000000</c:v>
                </c:pt>
                <c:pt idx="1">
                  <c:v>69226.9000000000</c:v>
                </c:pt>
                <c:pt idx="2">
                  <c:v>70121.6</c:v>
                </c:pt>
                <c:pt idx="3">
                  <c:v>74080.3000000000</c:v>
                </c:pt>
                <c:pt idx="4">
                  <c:v>82514.1</c:v>
                </c:pt>
                <c:pt idx="5">
                  <c:v>90580.9000000000</c:v>
                </c:pt>
                <c:pt idx="6">
                  <c:v>96807.6</c:v>
                </c:pt>
                <c:pt idx="7">
                  <c:v>101717.4</c:v>
                </c:pt>
                <c:pt idx="8">
                  <c:v>107558.100000000</c:v>
                </c:pt>
                <c:pt idx="9">
                  <c:v>112898.200000000</c:v>
                </c:pt>
                <c:pt idx="10">
                  <c:v>119257.800000000</c:v>
                </c:pt>
                <c:pt idx="11">
                  <c:v>123715.3</c:v>
                </c:pt>
                <c:pt idx="12">
                  <c:v>127534.100000000</c:v>
                </c:pt>
                <c:pt idx="13">
                  <c:v>104825.3</c:v>
                </c:pt>
              </c:numCache>
            </c:numRef>
          </c:val>
          <c:smooth val="0"/>
        </c:ser>
        <c:ser>
          <c:idx val="1"/>
          <c:order val="1"/>
          <c:tx>
            <c:strRef>
              <c:f>'SUM AÑO TODO'!$C$3</c:f>
              <c:strCache>
                <c:ptCount val="1"/>
                <c:pt idx="0">
                  <c:v>Suma de Variación Porcentual Constante</c:v>
                </c:pt>
              </c:strCache>
            </c:strRef>
          </c:tx>
          <c:spPr>
            <a:ln w="28575" cap="rnd">
              <a:solidFill>
                <a:schemeClr val="accent2"/>
              </a:solidFill>
              <a:round/>
            </a:ln>
            <a:effectLst/>
          </c:spPr>
          <c:marker>
            <c:symbol val="none"/>
          </c:marker>
          <c:cat>
            <c:strRef>
              <c:f>'SUM AÑO TODO'!$A$4:$A$18</c:f>
              <c:strCache>
                <c:ptCount val="14"/>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 (P)</c:v>
                </c:pt>
                <c:pt idx="13">
                  <c:v>2020 (E)</c:v>
                </c:pt>
              </c:strCache>
            </c:strRef>
          </c:cat>
          <c:val>
            <c:numRef>
              <c:f>'SUM AÑO TODO'!$C$4:$C$18</c:f>
              <c:numCache>
                <c:formatCode>General</c:formatCode>
                <c:ptCount val="14"/>
                <c:pt idx="1">
                  <c:v>11445.8</c:v>
                </c:pt>
                <c:pt idx="2">
                  <c:v>5780.3</c:v>
                </c:pt>
                <c:pt idx="3">
                  <c:v>6795.80000000000</c:v>
                </c:pt>
                <c:pt idx="4">
                  <c:v>15490.9</c:v>
                </c:pt>
                <c:pt idx="5">
                  <c:v>17084.7000000000</c:v>
                </c:pt>
                <c:pt idx="6">
                  <c:v>15403.3000000000</c:v>
                </c:pt>
                <c:pt idx="7">
                  <c:v>12749.0000000000</c:v>
                </c:pt>
                <c:pt idx="8">
                  <c:v>12411.8</c:v>
                </c:pt>
                <c:pt idx="9">
                  <c:v>11215.5</c:v>
                </c:pt>
                <c:pt idx="10">
                  <c:v>12908.5000000000</c:v>
                </c:pt>
                <c:pt idx="11">
                  <c:v>8248.3</c:v>
                </c:pt>
                <c:pt idx="12">
                  <c:v>6255.4</c:v>
                </c:pt>
                <c:pt idx="13">
                  <c:v>-38658.4000000000</c:v>
                </c:pt>
              </c:numCache>
            </c:numRef>
          </c:val>
          <c:smooth val="0"/>
        </c:ser>
        <c:dLbls>
          <c:showLegendKey val="0"/>
          <c:showVal val="0"/>
          <c:showCatName val="0"/>
          <c:showSerName val="0"/>
          <c:showPercent val="0"/>
          <c:showBubbleSize val="0"/>
        </c:dLbls>
        <c:smooth val="0"/>
        <c:axId val="513339296"/>
        <c:axId val="513340016"/>
      </c:lineChart>
      <c:catAx>
        <c:axId val="513339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513340016"/>
        <c:crosses val="autoZero"/>
        <c:auto val="1"/>
        <c:lblAlgn val="ctr"/>
        <c:lblOffset val="100"/>
        <c:noMultiLvlLbl val="0"/>
      </c:catAx>
      <c:valAx>
        <c:axId val="513340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5133392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A"/>
              <a:t>CORRELACIÓN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lineMarker"/>
        <c:varyColors val="0"/>
        <c:ser>
          <c:idx val="0"/>
          <c:order val="0"/>
          <c:tx>
            <c:strRef>
              <c:f>'Primeras Hipotesis'!$H$1</c:f>
              <c:strCache>
                <c:ptCount val="1"/>
                <c:pt idx="0">
                  <c:v>Peso neto</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trendlineLbl>
          </c:trendline>
          <c:xVal>
            <c:numRef>
              <c:f>'Primeras Hipotesis'!$G$2:$G$1047575</c:f>
              <c:numCache>
                <c:formatCode>General</c:formatCode>
                <c:ptCount val="88"/>
                <c:pt idx="0">
                  <c:v>1041.0</c:v>
                </c:pt>
                <c:pt idx="1">
                  <c:v>2133.0</c:v>
                </c:pt>
                <c:pt idx="2">
                  <c:v>491.0</c:v>
                </c:pt>
                <c:pt idx="3">
                  <c:v>92.0</c:v>
                </c:pt>
                <c:pt idx="4">
                  <c:v>121.0</c:v>
                </c:pt>
                <c:pt idx="5">
                  <c:v>937.0</c:v>
                </c:pt>
                <c:pt idx="6">
                  <c:v>924.0</c:v>
                </c:pt>
                <c:pt idx="7">
                  <c:v>706.0</c:v>
                </c:pt>
                <c:pt idx="8">
                  <c:v>489.0</c:v>
                </c:pt>
                <c:pt idx="9">
                  <c:v>86.0</c:v>
                </c:pt>
                <c:pt idx="10">
                  <c:v>240.0</c:v>
                </c:pt>
                <c:pt idx="11">
                  <c:v>964.0</c:v>
                </c:pt>
                <c:pt idx="12">
                  <c:v>348.0</c:v>
                </c:pt>
                <c:pt idx="13">
                  <c:v>907.0</c:v>
                </c:pt>
                <c:pt idx="14">
                  <c:v>151.0</c:v>
                </c:pt>
                <c:pt idx="15">
                  <c:v>1188.0</c:v>
                </c:pt>
                <c:pt idx="16">
                  <c:v>204.0</c:v>
                </c:pt>
                <c:pt idx="17">
                  <c:v>13498.0</c:v>
                </c:pt>
                <c:pt idx="18">
                  <c:v>591.0</c:v>
                </c:pt>
                <c:pt idx="19">
                  <c:v>5276.0</c:v>
                </c:pt>
                <c:pt idx="20">
                  <c:v>84711.0</c:v>
                </c:pt>
                <c:pt idx="21">
                  <c:v>97.0</c:v>
                </c:pt>
                <c:pt idx="22">
                  <c:v>482.0</c:v>
                </c:pt>
                <c:pt idx="23">
                  <c:v>1474.0</c:v>
                </c:pt>
                <c:pt idx="24">
                  <c:v>375.0</c:v>
                </c:pt>
                <c:pt idx="25">
                  <c:v>326.0</c:v>
                </c:pt>
                <c:pt idx="26">
                  <c:v>156.0</c:v>
                </c:pt>
                <c:pt idx="27">
                  <c:v>1316.0</c:v>
                </c:pt>
                <c:pt idx="28">
                  <c:v>1348.0</c:v>
                </c:pt>
                <c:pt idx="29">
                  <c:v>18592.0</c:v>
                </c:pt>
                <c:pt idx="30">
                  <c:v>1003.0</c:v>
                </c:pt>
                <c:pt idx="31">
                  <c:v>5101.0</c:v>
                </c:pt>
                <c:pt idx="32">
                  <c:v>703.0</c:v>
                </c:pt>
                <c:pt idx="33">
                  <c:v>6709.0</c:v>
                </c:pt>
                <c:pt idx="34">
                  <c:v>43730.0</c:v>
                </c:pt>
                <c:pt idx="35">
                  <c:v>729.0</c:v>
                </c:pt>
                <c:pt idx="36">
                  <c:v>63.0</c:v>
                </c:pt>
                <c:pt idx="37">
                  <c:v>1965.0</c:v>
                </c:pt>
                <c:pt idx="38">
                  <c:v>885.0</c:v>
                </c:pt>
                <c:pt idx="39">
                  <c:v>628.0</c:v>
                </c:pt>
                <c:pt idx="40">
                  <c:v>2724.0</c:v>
                </c:pt>
                <c:pt idx="41">
                  <c:v>1049.0</c:v>
                </c:pt>
                <c:pt idx="42">
                  <c:v>745.0</c:v>
                </c:pt>
                <c:pt idx="43">
                  <c:v>11219.0</c:v>
                </c:pt>
                <c:pt idx="44">
                  <c:v>6090.0</c:v>
                </c:pt>
                <c:pt idx="45">
                  <c:v>3871.0</c:v>
                </c:pt>
                <c:pt idx="46">
                  <c:v>1995.0</c:v>
                </c:pt>
                <c:pt idx="47">
                  <c:v>133.0</c:v>
                </c:pt>
                <c:pt idx="48">
                  <c:v>775.0</c:v>
                </c:pt>
                <c:pt idx="49">
                  <c:v>109.0</c:v>
                </c:pt>
                <c:pt idx="50">
                  <c:v>116.0</c:v>
                </c:pt>
                <c:pt idx="51">
                  <c:v>9683.0</c:v>
                </c:pt>
                <c:pt idx="52">
                  <c:v>436.0</c:v>
                </c:pt>
                <c:pt idx="53">
                  <c:v>541.0</c:v>
                </c:pt>
                <c:pt idx="54">
                  <c:v>906.0</c:v>
                </c:pt>
                <c:pt idx="55">
                  <c:v>1544.0</c:v>
                </c:pt>
                <c:pt idx="56">
                  <c:v>119.0</c:v>
                </c:pt>
                <c:pt idx="57">
                  <c:v>326.0</c:v>
                </c:pt>
                <c:pt idx="58">
                  <c:v>1206.0</c:v>
                </c:pt>
                <c:pt idx="59">
                  <c:v>905.0</c:v>
                </c:pt>
                <c:pt idx="60">
                  <c:v>6135.0</c:v>
                </c:pt>
                <c:pt idx="61">
                  <c:v>134.0</c:v>
                </c:pt>
                <c:pt idx="62">
                  <c:v>112.0</c:v>
                </c:pt>
                <c:pt idx="63">
                  <c:v>5143.0</c:v>
                </c:pt>
                <c:pt idx="64">
                  <c:v>13885.0</c:v>
                </c:pt>
                <c:pt idx="65">
                  <c:v>3204.0</c:v>
                </c:pt>
                <c:pt idx="66">
                  <c:v>5002.0</c:v>
                </c:pt>
                <c:pt idx="67">
                  <c:v>8296.0</c:v>
                </c:pt>
                <c:pt idx="68">
                  <c:v>920.0</c:v>
                </c:pt>
                <c:pt idx="69">
                  <c:v>13010.0</c:v>
                </c:pt>
                <c:pt idx="70">
                  <c:v>2437.0</c:v>
                </c:pt>
                <c:pt idx="71">
                  <c:v>175.0</c:v>
                </c:pt>
                <c:pt idx="72">
                  <c:v>6999.0</c:v>
                </c:pt>
                <c:pt idx="73">
                  <c:v>14923.0</c:v>
                </c:pt>
                <c:pt idx="74">
                  <c:v>6086.0</c:v>
                </c:pt>
                <c:pt idx="75">
                  <c:v>5243.0</c:v>
                </c:pt>
                <c:pt idx="76">
                  <c:v>2441.0</c:v>
                </c:pt>
                <c:pt idx="77">
                  <c:v>75.0</c:v>
                </c:pt>
                <c:pt idx="78">
                  <c:v>18708.0</c:v>
                </c:pt>
                <c:pt idx="79">
                  <c:v>32816.0</c:v>
                </c:pt>
                <c:pt idx="80">
                  <c:v>21090.0</c:v>
                </c:pt>
                <c:pt idx="81">
                  <c:v>3591.0</c:v>
                </c:pt>
                <c:pt idx="82">
                  <c:v>7643.0</c:v>
                </c:pt>
                <c:pt idx="83">
                  <c:v>228.0</c:v>
                </c:pt>
                <c:pt idx="84">
                  <c:v>417.0</c:v>
                </c:pt>
                <c:pt idx="85">
                  <c:v>585.0</c:v>
                </c:pt>
                <c:pt idx="86">
                  <c:v>2837.0</c:v>
                </c:pt>
                <c:pt idx="87">
                  <c:v>6490.0</c:v>
                </c:pt>
              </c:numCache>
            </c:numRef>
          </c:xVal>
          <c:yVal>
            <c:numRef>
              <c:f>'Primeras Hipotesis'!$H$2:$H$1047575</c:f>
              <c:numCache>
                <c:formatCode>General</c:formatCode>
                <c:ptCount val="88"/>
                <c:pt idx="0">
                  <c:v>11.0</c:v>
                </c:pt>
                <c:pt idx="1">
                  <c:v>60.0</c:v>
                </c:pt>
                <c:pt idx="2">
                  <c:v>6.0</c:v>
                </c:pt>
                <c:pt idx="3">
                  <c:v>2.0</c:v>
                </c:pt>
                <c:pt idx="4">
                  <c:v>22.0</c:v>
                </c:pt>
                <c:pt idx="5">
                  <c:v>11.0</c:v>
                </c:pt>
                <c:pt idx="6">
                  <c:v>19.0</c:v>
                </c:pt>
                <c:pt idx="7">
                  <c:v>15.0</c:v>
                </c:pt>
                <c:pt idx="8">
                  <c:v>9.0</c:v>
                </c:pt>
                <c:pt idx="9">
                  <c:v>2.0</c:v>
                </c:pt>
                <c:pt idx="10">
                  <c:v>25.0</c:v>
                </c:pt>
                <c:pt idx="11">
                  <c:v>171.0</c:v>
                </c:pt>
                <c:pt idx="12">
                  <c:v>6.0</c:v>
                </c:pt>
                <c:pt idx="13">
                  <c:v>292.0</c:v>
                </c:pt>
                <c:pt idx="14">
                  <c:v>2.0</c:v>
                </c:pt>
                <c:pt idx="15">
                  <c:v>144.0</c:v>
                </c:pt>
                <c:pt idx="16">
                  <c:v>102.0</c:v>
                </c:pt>
                <c:pt idx="17">
                  <c:v>873.0</c:v>
                </c:pt>
                <c:pt idx="18">
                  <c:v>74.0</c:v>
                </c:pt>
                <c:pt idx="19">
                  <c:v>560.0</c:v>
                </c:pt>
                <c:pt idx="20">
                  <c:v>5118.0</c:v>
                </c:pt>
                <c:pt idx="21">
                  <c:v>48.0</c:v>
                </c:pt>
                <c:pt idx="22">
                  <c:v>10.0</c:v>
                </c:pt>
                <c:pt idx="23">
                  <c:v>20.0</c:v>
                </c:pt>
                <c:pt idx="24">
                  <c:v>4.0</c:v>
                </c:pt>
                <c:pt idx="25">
                  <c:v>100.0</c:v>
                </c:pt>
                <c:pt idx="26">
                  <c:v>19.0</c:v>
                </c:pt>
                <c:pt idx="27">
                  <c:v>26.0</c:v>
                </c:pt>
                <c:pt idx="28">
                  <c:v>15.0</c:v>
                </c:pt>
                <c:pt idx="29">
                  <c:v>2289.0</c:v>
                </c:pt>
                <c:pt idx="30">
                  <c:v>20.0</c:v>
                </c:pt>
                <c:pt idx="31">
                  <c:v>58.0</c:v>
                </c:pt>
                <c:pt idx="32">
                  <c:v>112.0</c:v>
                </c:pt>
                <c:pt idx="33">
                  <c:v>784.0</c:v>
                </c:pt>
                <c:pt idx="34">
                  <c:v>4931.0</c:v>
                </c:pt>
                <c:pt idx="35">
                  <c:v>11.0</c:v>
                </c:pt>
                <c:pt idx="36">
                  <c:v>1.0</c:v>
                </c:pt>
                <c:pt idx="37">
                  <c:v>501.0</c:v>
                </c:pt>
                <c:pt idx="38">
                  <c:v>54.0</c:v>
                </c:pt>
                <c:pt idx="39">
                  <c:v>137.0</c:v>
                </c:pt>
                <c:pt idx="40">
                  <c:v>277.0</c:v>
                </c:pt>
                <c:pt idx="41">
                  <c:v>69.0</c:v>
                </c:pt>
                <c:pt idx="42">
                  <c:v>38.0</c:v>
                </c:pt>
                <c:pt idx="43">
                  <c:v>531.0</c:v>
                </c:pt>
                <c:pt idx="44">
                  <c:v>229.0</c:v>
                </c:pt>
                <c:pt idx="45">
                  <c:v>202.0</c:v>
                </c:pt>
                <c:pt idx="46">
                  <c:v>148.0</c:v>
                </c:pt>
                <c:pt idx="47">
                  <c:v>17.0</c:v>
                </c:pt>
                <c:pt idx="48">
                  <c:v>10.0</c:v>
                </c:pt>
                <c:pt idx="49">
                  <c:v>4.0</c:v>
                </c:pt>
                <c:pt idx="50">
                  <c:v>2.0</c:v>
                </c:pt>
                <c:pt idx="51">
                  <c:v>656.0</c:v>
                </c:pt>
                <c:pt idx="52">
                  <c:v>27.0</c:v>
                </c:pt>
                <c:pt idx="53">
                  <c:v>6.0</c:v>
                </c:pt>
                <c:pt idx="54">
                  <c:v>10.0</c:v>
                </c:pt>
                <c:pt idx="55">
                  <c:v>18.0</c:v>
                </c:pt>
                <c:pt idx="56">
                  <c:v>11.0</c:v>
                </c:pt>
                <c:pt idx="57">
                  <c:v>43.0</c:v>
                </c:pt>
                <c:pt idx="58">
                  <c:v>62.0</c:v>
                </c:pt>
                <c:pt idx="59">
                  <c:v>64.0</c:v>
                </c:pt>
                <c:pt idx="60">
                  <c:v>270.0</c:v>
                </c:pt>
                <c:pt idx="61">
                  <c:v>2.0</c:v>
                </c:pt>
                <c:pt idx="62">
                  <c:v>16.0</c:v>
                </c:pt>
                <c:pt idx="63">
                  <c:v>586.0</c:v>
                </c:pt>
                <c:pt idx="64">
                  <c:v>912.0</c:v>
                </c:pt>
                <c:pt idx="65">
                  <c:v>298.0</c:v>
                </c:pt>
                <c:pt idx="66">
                  <c:v>431.0</c:v>
                </c:pt>
                <c:pt idx="67">
                  <c:v>391.0</c:v>
                </c:pt>
                <c:pt idx="68">
                  <c:v>127.0</c:v>
                </c:pt>
                <c:pt idx="69">
                  <c:v>1004.0</c:v>
                </c:pt>
                <c:pt idx="70">
                  <c:v>71.0</c:v>
                </c:pt>
                <c:pt idx="71">
                  <c:v>20.0</c:v>
                </c:pt>
                <c:pt idx="72">
                  <c:v>753.0</c:v>
                </c:pt>
                <c:pt idx="73">
                  <c:v>2659.0</c:v>
                </c:pt>
                <c:pt idx="74">
                  <c:v>853.0</c:v>
                </c:pt>
                <c:pt idx="75">
                  <c:v>782.0</c:v>
                </c:pt>
                <c:pt idx="76">
                  <c:v>121.0</c:v>
                </c:pt>
                <c:pt idx="77">
                  <c:v>9.0</c:v>
                </c:pt>
                <c:pt idx="78">
                  <c:v>1613.0</c:v>
                </c:pt>
                <c:pt idx="79">
                  <c:v>2952.0</c:v>
                </c:pt>
                <c:pt idx="80">
                  <c:v>333.0</c:v>
                </c:pt>
                <c:pt idx="81">
                  <c:v>227.0</c:v>
                </c:pt>
                <c:pt idx="82">
                  <c:v>898.0</c:v>
                </c:pt>
                <c:pt idx="83">
                  <c:v>38.0</c:v>
                </c:pt>
                <c:pt idx="84">
                  <c:v>27.0</c:v>
                </c:pt>
                <c:pt idx="85">
                  <c:v>7.0</c:v>
                </c:pt>
                <c:pt idx="86">
                  <c:v>30.0</c:v>
                </c:pt>
                <c:pt idx="87">
                  <c:v>306.0</c:v>
                </c:pt>
              </c:numCache>
            </c:numRef>
          </c:yVal>
          <c:smooth val="0"/>
        </c:ser>
        <c:dLbls>
          <c:showLegendKey val="0"/>
          <c:showVal val="0"/>
          <c:showCatName val="0"/>
          <c:showSerName val="0"/>
          <c:showPercent val="0"/>
          <c:showBubbleSize val="0"/>
        </c:dLbls>
        <c:axId val="1528543032"/>
        <c:axId val="1528544472"/>
      </c:scatterChart>
      <c:valAx>
        <c:axId val="15285430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528544472"/>
        <c:crosses val="autoZero"/>
        <c:crossBetween val="midCat"/>
      </c:valAx>
      <c:valAx>
        <c:axId val="1528544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528543032"/>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[ImpZonasFrancasElectronicos.xlsx]VALOR FOB AREA!TablaDinámica2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'VALOR FOB AREA'!$B$3</c:f>
              <c:strCache>
                <c:ptCount val="1"/>
                <c:pt idx="0">
                  <c:v>Total</c:v>
                </c:pt>
              </c:strCache>
            </c:strRef>
          </c:tx>
          <c:spPr>
            <a:solidFill>
              <a:schemeClr val="accent1"/>
            </a:solidFill>
            <a:ln>
              <a:noFill/>
            </a:ln>
            <a:effectLst/>
          </c:spPr>
          <c:invertIfNegative val="0"/>
          <c:cat>
            <c:multiLvlStrRef>
              <c:f>'VALOR FOB AREA'!$A$4:$A$8</c:f>
              <c:multiLvlStrCache>
                <c:ptCount val="2"/>
                <c:lvl>
                  <c:pt idx="0">
                    <c:v>8413.82.00</c:v>
                  </c:pt>
                  <c:pt idx="1">
                    <c:v>8413.82.00</c:v>
                  </c:pt>
                </c:lvl>
                <c:lvl>
                  <c:pt idx="0">
                    <c:v>Área Económica Especial Panamá Pacífico</c:v>
                  </c:pt>
                  <c:pt idx="1">
                    <c:v>Panexport</c:v>
                  </c:pt>
                </c:lvl>
              </c:multiLvlStrCache>
            </c:multiLvlStrRef>
          </c:cat>
          <c:val>
            <c:numRef>
              <c:f>'VALOR FOB AREA'!$B$4:$B$8</c:f>
              <c:numCache>
                <c:formatCode>General</c:formatCode>
                <c:ptCount val="2"/>
                <c:pt idx="0">
                  <c:v>58851.0</c:v>
                </c:pt>
                <c:pt idx="1">
                  <c:v>19360.0</c:v>
                </c:pt>
              </c:numCache>
            </c:numRef>
          </c:val>
        </c:ser>
        <c:dLbls>
          <c:showLegendKey val="0"/>
          <c:showVal val="0"/>
          <c:showCatName val="0"/>
          <c:showSerName val="0"/>
          <c:showPercent val="0"/>
          <c:showBubbleSize val="0"/>
        </c:dLbls>
        <c:gapWidth val="219"/>
        <c:overlap val="-27"/>
        <c:axId val="1153630696"/>
        <c:axId val="1153631416"/>
      </c:barChart>
      <c:catAx>
        <c:axId val="1153630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153631416"/>
        <c:crosses val="autoZero"/>
        <c:auto val="1"/>
        <c:lblAlgn val="ctr"/>
        <c:lblOffset val="100"/>
        <c:noMultiLvlLbl val="0"/>
      </c:catAx>
      <c:valAx>
        <c:axId val="1153631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1536306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1">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[Impo-Franca9007.xlsx]año!Tabla dinámica7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peso neto por año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año!$B$3</c:f>
              <c:strCache>
                <c:ptCount val="1"/>
                <c:pt idx="0">
                  <c:v>Total</c:v>
                </c:pt>
              </c:strCache>
            </c:strRef>
          </c:tx>
          <c:spPr>
            <a:solidFill>
              <a:schemeClr val="accent1"/>
            </a:solidFill>
            <a:ln>
              <a:noFill/>
            </a:ln>
            <a:effectLst/>
          </c:spPr>
          <c:invertIfNegative val="0"/>
          <c:cat>
            <c:multiLvlStrRef>
              <c:f>año!$A$4:$A$9</c:f>
              <c:multiLvlStrCache>
                <c:ptCount val="3"/>
                <c:lvl>
                  <c:pt idx="0">
                    <c:v>Albrook</c:v>
                  </c:pt>
                  <c:pt idx="1">
                    <c:v>Panamá Pacífico</c:v>
                  </c:pt>
                  <c:pt idx="2">
                    <c:v>Albrook</c:v>
                  </c:pt>
                </c:lvl>
                <c:lvl>
                  <c:pt idx="0">
                    <c:v>2020</c:v>
                  </c:pt>
                  <c:pt idx="2">
                    <c:v>2021</c:v>
                  </c:pt>
                </c:lvl>
              </c:multiLvlStrCache>
            </c:multiLvlStrRef>
          </c:cat>
          <c:val>
            <c:numRef>
              <c:f>año!$B$4:$B$9</c:f>
              <c:numCache>
                <c:formatCode>General</c:formatCode>
                <c:ptCount val="3"/>
                <c:pt idx="0">
                  <c:v>1749.0</c:v>
                </c:pt>
                <c:pt idx="1">
                  <c:v>807.0</c:v>
                </c:pt>
                <c:pt idx="2">
                  <c:v>726.0</c:v>
                </c:pt>
              </c:numCache>
            </c:numRef>
          </c:val>
        </c:ser>
        <c:dLbls>
          <c:showLegendKey val="0"/>
          <c:showVal val="0"/>
          <c:showCatName val="0"/>
          <c:showSerName val="0"/>
          <c:showPercent val="0"/>
          <c:showBubbleSize val="0"/>
        </c:dLbls>
        <c:gapWidth val="219"/>
        <c:overlap val="-27"/>
        <c:axId val="437293392"/>
        <c:axId val="437293784"/>
      </c:barChart>
      <c:catAx>
        <c:axId val="437293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37293784"/>
        <c:crosses val="autoZero"/>
        <c:auto val="1"/>
        <c:lblAlgn val="ctr"/>
        <c:lblOffset val="100"/>
        <c:noMultiLvlLbl val="0"/>
      </c:catAx>
      <c:valAx>
        <c:axId val="437293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372933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1">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[ImpZonasFrancasElectronicos.xlsx]VALOR CIF AREA!TablaDinámica12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de CIF</a:t>
            </a:r>
          </a:p>
        </c:rich>
      </c:tx>
      <c:layout>
        <c:manualLayout>
          <c:xMode val="edge"/>
          <c:yMode val="edge"/>
          <c:x val="0.4536111111111112"/>
          <c:y val="0.12397929425488481"/>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'VALOR CIF AREA'!$B$3</c:f>
              <c:strCache>
                <c:ptCount val="1"/>
                <c:pt idx="0">
                  <c:v>Total</c:v>
                </c:pt>
              </c:strCache>
            </c:strRef>
          </c:tx>
          <c:spPr>
            <a:solidFill>
              <a:schemeClr val="accent1"/>
            </a:solidFill>
            <a:ln>
              <a:noFill/>
            </a:ln>
            <a:effectLst/>
          </c:spPr>
          <c:invertIfNegative val="0"/>
          <c:cat>
            <c:multiLvlStrRef>
              <c:f>'VALOR CIF AREA'!$A$4:$A$12</c:f>
              <c:multiLvlStrCache>
                <c:ptCount val="4"/>
                <c:lvl>
                  <c:pt idx="0">
                    <c:v>Áerea</c:v>
                  </c:pt>
                  <c:pt idx="1">
                    <c:v>Marítima</c:v>
                  </c:pt>
                  <c:pt idx="2">
                    <c:v>Terrestre</c:v>
                  </c:pt>
                  <c:pt idx="3">
                    <c:v>Marítima</c:v>
                  </c:pt>
                </c:lvl>
                <c:lvl>
                  <c:pt idx="0">
                    <c:v>8413.82.00</c:v>
                  </c:pt>
                  <c:pt idx="3">
                    <c:v>8413.82.00</c:v>
                  </c:pt>
                </c:lvl>
                <c:lvl>
                  <c:pt idx="0">
                    <c:v>Área Económica Especial Panamá Pacífico</c:v>
                  </c:pt>
                  <c:pt idx="3">
                    <c:v>Panexport</c:v>
                  </c:pt>
                </c:lvl>
              </c:multiLvlStrCache>
            </c:multiLvlStrRef>
          </c:cat>
          <c:val>
            <c:numRef>
              <c:f>'VALOR CIF AREA'!$B$4:$B$12</c:f>
              <c:numCache>
                <c:formatCode>General</c:formatCode>
                <c:ptCount val="4"/>
                <c:pt idx="0">
                  <c:v>73151.0</c:v>
                </c:pt>
                <c:pt idx="1">
                  <c:v>36629.0</c:v>
                </c:pt>
                <c:pt idx="2">
                  <c:v>5285.0</c:v>
                </c:pt>
                <c:pt idx="3">
                  <c:v>25244.0</c:v>
                </c:pt>
              </c:numCache>
            </c:numRef>
          </c:val>
        </c:ser>
        <c:dLbls>
          <c:showLegendKey val="0"/>
          <c:showVal val="0"/>
          <c:showCatName val="0"/>
          <c:showSerName val="0"/>
          <c:showPercent val="0"/>
          <c:showBubbleSize val="0"/>
        </c:dLbls>
        <c:gapWidth val="219"/>
        <c:overlap val="-27"/>
        <c:axId val="1218885048"/>
        <c:axId val="1218879648"/>
      </c:barChart>
      <c:catAx>
        <c:axId val="1218885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218879648"/>
        <c:crosses val="autoZero"/>
        <c:auto val="1"/>
        <c:lblAlgn val="ctr"/>
        <c:lblOffset val="100"/>
        <c:noMultiLvlLbl val="0"/>
      </c:catAx>
      <c:valAx>
        <c:axId val="1218879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2188850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A"/>
              <a:t>CORRELACIÓN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lineMarker"/>
        <c:varyColors val="0"/>
        <c:ser>
          <c:idx val="0"/>
          <c:order val="0"/>
          <c:tx>
            <c:strRef>
              <c:f>'Valor CIF_CE_T_IZONASFRANCAS_da'!$N$1</c:f>
              <c:strCache>
                <c:ptCount val="1"/>
                <c:pt idx="0">
                  <c:v>Valor FOB</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trendlineLbl>
          </c:trendline>
          <c:xVal>
            <c:numRef>
              <c:f>'Valor CIF_CE_T_IZONASFRANCAS_da'!$M$2:$M$162596</c:f>
              <c:numCache>
                <c:formatCode>General</c:formatCode>
                <c:ptCount val="11"/>
                <c:pt idx="0">
                  <c:v>1057.0</c:v>
                </c:pt>
                <c:pt idx="1">
                  <c:v>67678.0</c:v>
                </c:pt>
                <c:pt idx="2">
                  <c:v>1924.0</c:v>
                </c:pt>
                <c:pt idx="3">
                  <c:v>13136.0</c:v>
                </c:pt>
                <c:pt idx="4">
                  <c:v>10180.0</c:v>
                </c:pt>
                <c:pt idx="5">
                  <c:v>22263.0</c:v>
                </c:pt>
                <c:pt idx="6">
                  <c:v>13313.0</c:v>
                </c:pt>
                <c:pt idx="7">
                  <c:v>2695.0</c:v>
                </c:pt>
                <c:pt idx="8">
                  <c:v>5285.0</c:v>
                </c:pt>
                <c:pt idx="9">
                  <c:v>1550.0</c:v>
                </c:pt>
                <c:pt idx="10">
                  <c:v>1228.0</c:v>
                </c:pt>
              </c:numCache>
            </c:numRef>
          </c:xVal>
          <c:yVal>
            <c:numRef>
              <c:f>'Valor CIF_CE_T_IZONASFRANCAS_da'!$N$2:$N$162596</c:f>
              <c:numCache>
                <c:formatCode>General</c:formatCode>
                <c:ptCount val="11"/>
                <c:pt idx="0">
                  <c:v>918.0</c:v>
                </c:pt>
                <c:pt idx="1">
                  <c:v>58851.0</c:v>
                </c:pt>
                <c:pt idx="2">
                  <c:v>1777.0</c:v>
                </c:pt>
                <c:pt idx="3">
                  <c:v>11423.0</c:v>
                </c:pt>
                <c:pt idx="4">
                  <c:v>8853.0</c:v>
                </c:pt>
                <c:pt idx="5">
                  <c:v>19360.0</c:v>
                </c:pt>
                <c:pt idx="6">
                  <c:v>11578.0</c:v>
                </c:pt>
                <c:pt idx="7">
                  <c:v>2344.0</c:v>
                </c:pt>
                <c:pt idx="8">
                  <c:v>4597.0</c:v>
                </c:pt>
                <c:pt idx="9">
                  <c:v>1349.0</c:v>
                </c:pt>
                <c:pt idx="10">
                  <c:v>1069.0</c:v>
                </c:pt>
              </c:numCache>
            </c:numRef>
          </c:yVal>
          <c:smooth val="0"/>
        </c:ser>
        <c:dLbls>
          <c:showLegendKey val="0"/>
          <c:showVal val="0"/>
          <c:showCatName val="0"/>
          <c:showSerName val="0"/>
          <c:showPercent val="0"/>
          <c:showBubbleSize val="0"/>
        </c:dLbls>
        <c:axId val="1218877488"/>
        <c:axId val="1218879288"/>
      </c:scatterChart>
      <c:valAx>
        <c:axId val="12188774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218879288"/>
        <c:crosses val="autoZero"/>
        <c:crossBetween val="midCat"/>
      </c:valAx>
      <c:valAx>
        <c:axId val="1218879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218877488"/>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[PIB ANUAL POR CATEGORIAS EDITADO.xlsx]Hoja12!TablaDinámica15</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Hoja12!$B$1</c:f>
              <c:strCache>
                <c:ptCount val="1"/>
                <c:pt idx="0">
                  <c:v>Suma de Variación Porcentual Constante</c:v>
                </c:pt>
              </c:strCache>
            </c:strRef>
          </c:tx>
          <c:spPr>
            <a:solidFill>
              <a:schemeClr val="accent1"/>
            </a:solidFill>
            <a:ln>
              <a:noFill/>
            </a:ln>
            <a:effectLst/>
          </c:spPr>
          <c:invertIfNegative val="0"/>
          <c:cat>
            <c:strRef>
              <c:f>Hoja12!$A$2:$A$26</c:f>
              <c:strCache>
                <c:ptCount val="24"/>
                <c:pt idx="0">
                  <c:v>A   AGRICULTURA, GANADERÍA, CAZA Y SILVICULTURA</c:v>
                </c:pt>
                <c:pt idx="1">
                  <c:v>B   PESCA</c:v>
                </c:pt>
                <c:pt idx="2">
                  <c:v>C   EXPLOTACIÓN DE MINAS Y CANTERAS</c:v>
                </c:pt>
                <c:pt idx="3">
                  <c:v>D   INDUSTRIAS MANUFACTURERAS</c:v>
                </c:pt>
                <c:pt idx="4">
                  <c:v>E   SUMINISTRO DE ELECTRICIDAD, GAS Y AGUA</c:v>
                </c:pt>
                <c:pt idx="5">
                  <c:v>F   CONSTRUCCION</c:v>
                </c:pt>
                <c:pt idx="6">
                  <c:v>F   CONSTRUCCION (UFP)</c:v>
                </c:pt>
                <c:pt idx="7">
                  <c:v>G   COMERCIO AL POR MAYOR Y AL POR MENOR; REPARACIÓN DE VEHÍCULOS AUTOMOTORES, MOTOCICLETAS, EFECTOS PERSONALES Y ENSERES DOMÉSTICOS</c:v>
                </c:pt>
                <c:pt idx="8">
                  <c:v>H   HOTELES Y RESTAURANTES</c:v>
                </c:pt>
                <c:pt idx="9">
                  <c:v>I   TRANSPORTE,  ALMACENAMIENTO Y COMUNICACIONES</c:v>
                </c:pt>
                <c:pt idx="10">
                  <c:v>IMP   IMPUESTOS</c:v>
                </c:pt>
                <c:pt idx="11">
                  <c:v>J   INTERMEDIACIÓN   FINANCIERA</c:v>
                </c:pt>
                <c:pt idx="12">
                  <c:v>K   ACTIVIDADES INMOBILIARIAS,  EMPRESARIALES Y DE ALQUILER</c:v>
                </c:pt>
                <c:pt idx="13">
                  <c:v>K   ACTIVIDADES INMOBILIARIAS,  EMPRESARIALES Y DE ALQUILER (UFP)</c:v>
                </c:pt>
                <c:pt idx="14">
                  <c:v>L   ADMINISTRACIÓN  PÚBLICA  Y  DEFENSA; PLANES    DE    SEGURIDAD    SOCIAL    DE AFILIACIÓN OBLIGATORIA (ONM)</c:v>
                </c:pt>
                <c:pt idx="15">
                  <c:v>M   ENSEÑANZA  PRIVADA</c:v>
                </c:pt>
                <c:pt idx="16">
                  <c:v>M   ENSEÑANZA  PRIVADA (ONM)</c:v>
                </c:pt>
                <c:pt idx="17">
                  <c:v>N   ACTIVIDADES DE SERVICIOS  SOCIALES Y DE SALUD  PRIVADA</c:v>
                </c:pt>
                <c:pt idx="18">
                  <c:v>N   ACTIVIDADES DE SERVICIOS  SOCIALES Y DE SALUD  PRIVADA (ONM)</c:v>
                </c:pt>
                <c:pt idx="19">
                  <c:v>O   OTRAS ACTIVIDADES COMUNITARIAS, SOCIALES Y  PERSONALES DE SERVICIOS</c:v>
                </c:pt>
                <c:pt idx="20">
                  <c:v>O   OTRAS ACTIVIDADES COMUNITARIAS, SOCIALES Y  PERSONALES DE SERVICIOS (ONM)</c:v>
                </c:pt>
                <c:pt idx="21">
                  <c:v>P   ACTIVIDADES DE HOGARES PRIVADOS COMO EMPLEADORES Y ACTIVIDADES NO DIFERENCIADAS DE HOGARES PRIVADOS COMO PRODUCTORES (UFP)</c:v>
                </c:pt>
                <c:pt idx="22">
                  <c:v>PIBPC   PRODUCTO INTERNO BRUTO A PRECIOS DE COMPRADOR                         </c:v>
                </c:pt>
                <c:pt idx="23">
                  <c:v>VAB   VALOR AGREGADO</c:v>
                </c:pt>
              </c:strCache>
            </c:strRef>
          </c:cat>
          <c:val>
            <c:numRef>
              <c:f>Hoja12!$B$2:$B$26</c:f>
              <c:numCache>
                <c:formatCode>General</c:formatCode>
                <c:ptCount val="24"/>
                <c:pt idx="0">
                  <c:v>508.100000000000</c:v>
                </c:pt>
                <c:pt idx="1">
                  <c:v>-45.3000000000000</c:v>
                </c:pt>
                <c:pt idx="2">
                  <c:v>1876.5</c:v>
                </c:pt>
                <c:pt idx="3">
                  <c:v>1594.00000000000</c:v>
                </c:pt>
                <c:pt idx="4">
                  <c:v>568.6</c:v>
                </c:pt>
                <c:pt idx="5">
                  <c:v>4698.0</c:v>
                </c:pt>
                <c:pt idx="6">
                  <c:v>398.200000000000</c:v>
                </c:pt>
                <c:pt idx="7">
                  <c:v>6108.90000000000</c:v>
                </c:pt>
                <c:pt idx="8">
                  <c:v>517.900000000000</c:v>
                </c:pt>
                <c:pt idx="9">
                  <c:v>3543.5</c:v>
                </c:pt>
                <c:pt idx="10">
                  <c:v>912.100000000000</c:v>
                </c:pt>
                <c:pt idx="11">
                  <c:v>2321.40000000000</c:v>
                </c:pt>
                <c:pt idx="12">
                  <c:v>1763.7</c:v>
                </c:pt>
                <c:pt idx="13">
                  <c:v>2384.7</c:v>
                </c:pt>
                <c:pt idx="14">
                  <c:v>2666.30000000000</c:v>
                </c:pt>
                <c:pt idx="15">
                  <c:v>322.0</c:v>
                </c:pt>
                <c:pt idx="16">
                  <c:v>706.0</c:v>
                </c:pt>
                <c:pt idx="17">
                  <c:v>496.500000000000</c:v>
                </c:pt>
                <c:pt idx="18">
                  <c:v>1253.2</c:v>
                </c:pt>
                <c:pt idx="19">
                  <c:v>-40.3000000000000</c:v>
                </c:pt>
                <c:pt idx="20">
                  <c:v>48.6000000000000</c:v>
                </c:pt>
                <c:pt idx="21">
                  <c:v>78.4</c:v>
                </c:pt>
                <c:pt idx="22">
                  <c:v>32681.0000000000</c:v>
                </c:pt>
                <c:pt idx="23">
                  <c:v>31768.9</c:v>
                </c:pt>
              </c:numCache>
            </c:numRef>
          </c:val>
        </c:ser>
        <c:ser>
          <c:idx val="1"/>
          <c:order val="1"/>
          <c:tx>
            <c:strRef>
              <c:f>Hoja12!$C$1</c:f>
              <c:strCache>
                <c:ptCount val="1"/>
                <c:pt idx="0">
                  <c:v>Suma de Variación Porcentual Corriente</c:v>
                </c:pt>
              </c:strCache>
            </c:strRef>
          </c:tx>
          <c:spPr>
            <a:solidFill>
              <a:schemeClr val="accent2"/>
            </a:solidFill>
            <a:ln>
              <a:noFill/>
            </a:ln>
            <a:effectLst/>
          </c:spPr>
          <c:invertIfNegative val="0"/>
          <c:cat>
            <c:strRef>
              <c:f>Hoja12!$A$2:$A$26</c:f>
              <c:strCache>
                <c:ptCount val="24"/>
                <c:pt idx="0">
                  <c:v>A   AGRICULTURA, GANADERÍA, CAZA Y SILVICULTURA</c:v>
                </c:pt>
                <c:pt idx="1">
                  <c:v>B   PESCA</c:v>
                </c:pt>
                <c:pt idx="2">
                  <c:v>C   EXPLOTACIÓN DE MINAS Y CANTERAS</c:v>
                </c:pt>
                <c:pt idx="3">
                  <c:v>D   INDUSTRIAS MANUFACTURERAS</c:v>
                </c:pt>
                <c:pt idx="4">
                  <c:v>E   SUMINISTRO DE ELECTRICIDAD, GAS Y AGUA</c:v>
                </c:pt>
                <c:pt idx="5">
                  <c:v>F   CONSTRUCCION</c:v>
                </c:pt>
                <c:pt idx="6">
                  <c:v>F   CONSTRUCCION (UFP)</c:v>
                </c:pt>
                <c:pt idx="7">
                  <c:v>G   COMERCIO AL POR MAYOR Y AL POR MENOR; REPARACIÓN DE VEHÍCULOS AUTOMOTORES, MOTOCICLETAS, EFECTOS PERSONALES Y ENSERES DOMÉSTICOS</c:v>
                </c:pt>
                <c:pt idx="8">
                  <c:v>H   HOTELES Y RESTAURANTES</c:v>
                </c:pt>
                <c:pt idx="9">
                  <c:v>I   TRANSPORTE,  ALMACENAMIENTO Y COMUNICACIONES</c:v>
                </c:pt>
                <c:pt idx="10">
                  <c:v>IMP   IMPUESTOS</c:v>
                </c:pt>
                <c:pt idx="11">
                  <c:v>J   INTERMEDIACIÓN   FINANCIERA</c:v>
                </c:pt>
                <c:pt idx="12">
                  <c:v>K   ACTIVIDADES INMOBILIARIAS,  EMPRESARIALES Y DE ALQUILER</c:v>
                </c:pt>
                <c:pt idx="13">
                  <c:v>K   ACTIVIDADES INMOBILIARIAS,  EMPRESARIALES Y DE ALQUILER (UFP)</c:v>
                </c:pt>
                <c:pt idx="14">
                  <c:v>L   ADMINISTRACIÓN  PÚBLICA  Y  DEFENSA; PLANES    DE    SEGURIDAD    SOCIAL    DE AFILIACIÓN OBLIGATORIA (ONM)</c:v>
                </c:pt>
                <c:pt idx="15">
                  <c:v>M   ENSEÑANZA  PRIVADA</c:v>
                </c:pt>
                <c:pt idx="16">
                  <c:v>M   ENSEÑANZA  PRIVADA (ONM)</c:v>
                </c:pt>
                <c:pt idx="17">
                  <c:v>N   ACTIVIDADES DE SERVICIOS  SOCIALES Y DE SALUD  PRIVADA</c:v>
                </c:pt>
                <c:pt idx="18">
                  <c:v>N   ACTIVIDADES DE SERVICIOS  SOCIALES Y DE SALUD  PRIVADA (ONM)</c:v>
                </c:pt>
                <c:pt idx="19">
                  <c:v>O   OTRAS ACTIVIDADES COMUNITARIAS, SOCIALES Y  PERSONALES DE SERVICIOS</c:v>
                </c:pt>
                <c:pt idx="20">
                  <c:v>O   OTRAS ACTIVIDADES COMUNITARIAS, SOCIALES Y  PERSONALES DE SERVICIOS (ONM)</c:v>
                </c:pt>
                <c:pt idx="21">
                  <c:v>P   ACTIVIDADES DE HOGARES PRIVADOS COMO EMPLEADORES Y ACTIVIDADES NO DIFERENCIADAS DE HOGARES PRIVADOS COMO PRODUCTORES (UFP)</c:v>
                </c:pt>
                <c:pt idx="22">
                  <c:v>PIBPC   PRODUCTO INTERNO BRUTO A PRECIOS DE COMPRADOR                         </c:v>
                </c:pt>
                <c:pt idx="23">
                  <c:v>VAB   VALOR AGREGADO</c:v>
                </c:pt>
              </c:strCache>
            </c:strRef>
          </c:cat>
          <c:val>
            <c:numRef>
              <c:f>Hoja12!$C$2:$C$26</c:f>
              <c:numCache>
                <c:formatCode>General</c:formatCode>
                <c:ptCount val="24"/>
                <c:pt idx="0">
                  <c:v>20.1790000000000</c:v>
                </c:pt>
                <c:pt idx="1">
                  <c:v>-46.7568</c:v>
                </c:pt>
                <c:pt idx="2">
                  <c:v>248.8532</c:v>
                </c:pt>
                <c:pt idx="3">
                  <c:v>13.719</c:v>
                </c:pt>
                <c:pt idx="4">
                  <c:v>108.129600000000</c:v>
                </c:pt>
                <c:pt idx="5">
                  <c:v>120.7835</c:v>
                </c:pt>
                <c:pt idx="6">
                  <c:v>92.7779</c:v>
                </c:pt>
                <c:pt idx="7">
                  <c:v>58.2981000000000</c:v>
                </c:pt>
                <c:pt idx="8">
                  <c:v>-6.89130000000001</c:v>
                </c:pt>
                <c:pt idx="9">
                  <c:v>44.7838</c:v>
                </c:pt>
                <c:pt idx="10">
                  <c:v>48.7156</c:v>
                </c:pt>
                <c:pt idx="11">
                  <c:v>70.1523</c:v>
                </c:pt>
                <c:pt idx="12">
                  <c:v>43.4774000000000</c:v>
                </c:pt>
                <c:pt idx="13">
                  <c:v>47.4652000000000</c:v>
                </c:pt>
                <c:pt idx="14">
                  <c:v>84.5912000000000</c:v>
                </c:pt>
                <c:pt idx="15">
                  <c:v>74.4681</c:v>
                </c:pt>
                <c:pt idx="16">
                  <c:v>61.9369000000000</c:v>
                </c:pt>
                <c:pt idx="17">
                  <c:v>73.5299</c:v>
                </c:pt>
                <c:pt idx="18">
                  <c:v>45.3047000000000</c:v>
                </c:pt>
                <c:pt idx="19">
                  <c:v>-4.11710000000000</c:v>
                </c:pt>
                <c:pt idx="20">
                  <c:v>74.4737</c:v>
                </c:pt>
                <c:pt idx="21">
                  <c:v>-4.90050000000000</c:v>
                </c:pt>
                <c:pt idx="22">
                  <c:v>54.9862000000000</c:v>
                </c:pt>
                <c:pt idx="23">
                  <c:v>54.7984000000000</c:v>
                </c:pt>
              </c:numCache>
            </c:numRef>
          </c:val>
        </c:ser>
        <c:dLbls>
          <c:showLegendKey val="0"/>
          <c:showVal val="0"/>
          <c:showCatName val="0"/>
          <c:showSerName val="0"/>
          <c:showPercent val="0"/>
          <c:showBubbleSize val="0"/>
        </c:dLbls>
        <c:gapWidth val="219"/>
        <c:overlap val="-27"/>
        <c:axId val="1077318696"/>
        <c:axId val="1077319416"/>
      </c:barChart>
      <c:catAx>
        <c:axId val="1077318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077319416"/>
        <c:crosses val="autoZero"/>
        <c:auto val="1"/>
        <c:lblAlgn val="ctr"/>
        <c:lblOffset val="100"/>
        <c:noMultiLvlLbl val="0"/>
      </c:catAx>
      <c:valAx>
        <c:axId val="1077319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0773186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[PIB por categoría economica.xlsx]Hoja4!TablaDinámica25</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Hoja4!$B$3:$B$4</c:f>
              <c:strCache>
                <c:ptCount val="1"/>
                <c:pt idx="0">
                  <c:v>2017</c:v>
                </c:pt>
              </c:strCache>
            </c:strRef>
          </c:tx>
          <c:spPr>
            <a:solidFill>
              <a:schemeClr val="accent1"/>
            </a:solidFill>
            <a:ln>
              <a:noFill/>
            </a:ln>
            <a:effectLst/>
          </c:spPr>
          <c:invertIfNegative val="0"/>
          <c:cat>
            <c:strRef>
              <c:f>Hoja4!$A$5:$A$24</c:f>
              <c:strCache>
                <c:ptCount val="19"/>
                <c:pt idx="0">
                  <c:v>A</c:v>
                </c:pt>
                <c:pt idx="1">
                  <c:v>B</c:v>
                </c:pt>
                <c:pt idx="2">
                  <c:v>C</c:v>
                </c:pt>
                <c:pt idx="3">
                  <c:v>D</c:v>
                </c:pt>
                <c:pt idx="4">
                  <c:v>E</c:v>
                </c:pt>
                <c:pt idx="5">
                  <c:v>F</c:v>
                </c:pt>
                <c:pt idx="6">
                  <c:v>G</c:v>
                </c:pt>
                <c:pt idx="7">
                  <c:v>H</c:v>
                </c:pt>
                <c:pt idx="8">
                  <c:v>I</c:v>
                </c:pt>
                <c:pt idx="9">
                  <c:v>IMP</c:v>
                </c:pt>
                <c:pt idx="10">
                  <c:v>J</c:v>
                </c:pt>
                <c:pt idx="11">
                  <c:v>K</c:v>
                </c:pt>
                <c:pt idx="12">
                  <c:v>L</c:v>
                </c:pt>
                <c:pt idx="13">
                  <c:v>M</c:v>
                </c:pt>
                <c:pt idx="14">
                  <c:v>N</c:v>
                </c:pt>
                <c:pt idx="15">
                  <c:v>O</c:v>
                </c:pt>
                <c:pt idx="16">
                  <c:v>P</c:v>
                </c:pt>
                <c:pt idx="17">
                  <c:v>PIBPC</c:v>
                </c:pt>
                <c:pt idx="18">
                  <c:v>VAB</c:v>
                </c:pt>
              </c:strCache>
            </c:strRef>
          </c:cat>
          <c:val>
            <c:numRef>
              <c:f>Hoja4!$B$5:$B$24</c:f>
              <c:numCache>
                <c:formatCode>General</c:formatCode>
                <c:ptCount val="19"/>
                <c:pt idx="0">
                  <c:v>789.8</c:v>
                </c:pt>
                <c:pt idx="1">
                  <c:v>162.1</c:v>
                </c:pt>
                <c:pt idx="2">
                  <c:v>718.6</c:v>
                </c:pt>
                <c:pt idx="3">
                  <c:v>2139.1</c:v>
                </c:pt>
                <c:pt idx="4">
                  <c:v>1662.6</c:v>
                </c:pt>
                <c:pt idx="5">
                  <c:v>6743.9</c:v>
                </c:pt>
                <c:pt idx="6">
                  <c:v>7228.3</c:v>
                </c:pt>
                <c:pt idx="7">
                  <c:v>995.6</c:v>
                </c:pt>
                <c:pt idx="8">
                  <c:v>5368.2</c:v>
                </c:pt>
                <c:pt idx="9">
                  <c:v>1763.9</c:v>
                </c:pt>
                <c:pt idx="10">
                  <c:v>2937.6</c:v>
                </c:pt>
                <c:pt idx="11">
                  <c:v>5345.30000000000</c:v>
                </c:pt>
                <c:pt idx="12">
                  <c:v>1393.6</c:v>
                </c:pt>
                <c:pt idx="13">
                  <c:v>1264.3</c:v>
                </c:pt>
                <c:pt idx="14">
                  <c:v>955.8</c:v>
                </c:pt>
                <c:pt idx="15">
                  <c:v>762.9</c:v>
                </c:pt>
                <c:pt idx="16">
                  <c:v>172.0</c:v>
                </c:pt>
                <c:pt idx="17">
                  <c:v>40312.8</c:v>
                </c:pt>
                <c:pt idx="18">
                  <c:v>38541.4</c:v>
                </c:pt>
              </c:numCache>
            </c:numRef>
          </c:val>
        </c:ser>
        <c:ser>
          <c:idx val="1"/>
          <c:order val="1"/>
          <c:tx>
            <c:strRef>
              <c:f>Hoja4!$C$3:$C$4</c:f>
              <c:strCache>
                <c:ptCount val="1"/>
                <c:pt idx="0">
                  <c:v>2018</c:v>
                </c:pt>
              </c:strCache>
            </c:strRef>
          </c:tx>
          <c:spPr>
            <a:solidFill>
              <a:schemeClr val="accent2"/>
            </a:solidFill>
            <a:ln>
              <a:noFill/>
            </a:ln>
            <a:effectLst/>
          </c:spPr>
          <c:invertIfNegative val="0"/>
          <c:cat>
            <c:strRef>
              <c:f>Hoja4!$A$5:$A$24</c:f>
              <c:strCache>
                <c:ptCount val="19"/>
                <c:pt idx="0">
                  <c:v>A</c:v>
                </c:pt>
                <c:pt idx="1">
                  <c:v>B</c:v>
                </c:pt>
                <c:pt idx="2">
                  <c:v>C</c:v>
                </c:pt>
                <c:pt idx="3">
                  <c:v>D</c:v>
                </c:pt>
                <c:pt idx="4">
                  <c:v>E</c:v>
                </c:pt>
                <c:pt idx="5">
                  <c:v>F</c:v>
                </c:pt>
                <c:pt idx="6">
                  <c:v>G</c:v>
                </c:pt>
                <c:pt idx="7">
                  <c:v>H</c:v>
                </c:pt>
                <c:pt idx="8">
                  <c:v>I</c:v>
                </c:pt>
                <c:pt idx="9">
                  <c:v>IMP</c:v>
                </c:pt>
                <c:pt idx="10">
                  <c:v>J</c:v>
                </c:pt>
                <c:pt idx="11">
                  <c:v>K</c:v>
                </c:pt>
                <c:pt idx="12">
                  <c:v>L</c:v>
                </c:pt>
                <c:pt idx="13">
                  <c:v>M</c:v>
                </c:pt>
                <c:pt idx="14">
                  <c:v>N</c:v>
                </c:pt>
                <c:pt idx="15">
                  <c:v>O</c:v>
                </c:pt>
                <c:pt idx="16">
                  <c:v>P</c:v>
                </c:pt>
                <c:pt idx="17">
                  <c:v>PIBPC</c:v>
                </c:pt>
                <c:pt idx="18">
                  <c:v>VAB</c:v>
                </c:pt>
              </c:strCache>
            </c:strRef>
          </c:cat>
          <c:val>
            <c:numRef>
              <c:f>Hoja4!$C$5:$C$24</c:f>
              <c:numCache>
                <c:formatCode>General</c:formatCode>
                <c:ptCount val="19"/>
                <c:pt idx="0">
                  <c:v>822.0</c:v>
                </c:pt>
                <c:pt idx="1">
                  <c:v>158.6</c:v>
                </c:pt>
                <c:pt idx="2">
                  <c:v>738.4</c:v>
                </c:pt>
                <c:pt idx="3">
                  <c:v>2166.5</c:v>
                </c:pt>
                <c:pt idx="4">
                  <c:v>1698.7</c:v>
                </c:pt>
                <c:pt idx="5">
                  <c:v>6960.3</c:v>
                </c:pt>
                <c:pt idx="6">
                  <c:v>7513.4</c:v>
                </c:pt>
                <c:pt idx="7">
                  <c:v>965.3</c:v>
                </c:pt>
                <c:pt idx="8">
                  <c:v>5678.9</c:v>
                </c:pt>
                <c:pt idx="9">
                  <c:v>1776.2</c:v>
                </c:pt>
                <c:pt idx="10">
                  <c:v>3030.7</c:v>
                </c:pt>
                <c:pt idx="11">
                  <c:v>5490.0</c:v>
                </c:pt>
                <c:pt idx="12">
                  <c:v>1503.1</c:v>
                </c:pt>
                <c:pt idx="13">
                  <c:v>1434.5</c:v>
                </c:pt>
                <c:pt idx="14">
                  <c:v>1019.5</c:v>
                </c:pt>
                <c:pt idx="15">
                  <c:v>778.7</c:v>
                </c:pt>
                <c:pt idx="16">
                  <c:v>176.5</c:v>
                </c:pt>
                <c:pt idx="17">
                  <c:v>41798.5</c:v>
                </c:pt>
                <c:pt idx="18">
                  <c:v>40005.5</c:v>
                </c:pt>
              </c:numCache>
            </c:numRef>
          </c:val>
        </c:ser>
        <c:ser>
          <c:idx val="2"/>
          <c:order val="2"/>
          <c:tx>
            <c:strRef>
              <c:f>Hoja4!$D$3:$D$4</c:f>
              <c:strCache>
                <c:ptCount val="1"/>
                <c:pt idx="0">
                  <c:v>2019</c:v>
                </c:pt>
              </c:strCache>
            </c:strRef>
          </c:tx>
          <c:spPr>
            <a:solidFill>
              <a:schemeClr val="accent3"/>
            </a:solidFill>
            <a:ln>
              <a:noFill/>
            </a:ln>
            <a:effectLst/>
          </c:spPr>
          <c:invertIfNegative val="0"/>
          <c:cat>
            <c:strRef>
              <c:f>Hoja4!$A$5:$A$24</c:f>
              <c:strCache>
                <c:ptCount val="19"/>
                <c:pt idx="0">
                  <c:v>A</c:v>
                </c:pt>
                <c:pt idx="1">
                  <c:v>B</c:v>
                </c:pt>
                <c:pt idx="2">
                  <c:v>C</c:v>
                </c:pt>
                <c:pt idx="3">
                  <c:v>D</c:v>
                </c:pt>
                <c:pt idx="4">
                  <c:v>E</c:v>
                </c:pt>
                <c:pt idx="5">
                  <c:v>F</c:v>
                </c:pt>
                <c:pt idx="6">
                  <c:v>G</c:v>
                </c:pt>
                <c:pt idx="7">
                  <c:v>H</c:v>
                </c:pt>
                <c:pt idx="8">
                  <c:v>I</c:v>
                </c:pt>
                <c:pt idx="9">
                  <c:v>IMP</c:v>
                </c:pt>
                <c:pt idx="10">
                  <c:v>J</c:v>
                </c:pt>
                <c:pt idx="11">
                  <c:v>K</c:v>
                </c:pt>
                <c:pt idx="12">
                  <c:v>L</c:v>
                </c:pt>
                <c:pt idx="13">
                  <c:v>M</c:v>
                </c:pt>
                <c:pt idx="14">
                  <c:v>N</c:v>
                </c:pt>
                <c:pt idx="15">
                  <c:v>O</c:v>
                </c:pt>
                <c:pt idx="16">
                  <c:v>P</c:v>
                </c:pt>
                <c:pt idx="17">
                  <c:v>PIBPC</c:v>
                </c:pt>
                <c:pt idx="18">
                  <c:v>VAB</c:v>
                </c:pt>
              </c:strCache>
            </c:strRef>
          </c:cat>
          <c:val>
            <c:numRef>
              <c:f>Hoja4!$D$5:$D$24</c:f>
              <c:numCache>
                <c:formatCode>General</c:formatCode>
                <c:ptCount val="19"/>
                <c:pt idx="0">
                  <c:v>908.0</c:v>
                </c:pt>
                <c:pt idx="1">
                  <c:v>131.7</c:v>
                </c:pt>
                <c:pt idx="2">
                  <c:v>1025.7</c:v>
                </c:pt>
                <c:pt idx="3">
                  <c:v>2113.0</c:v>
                </c:pt>
                <c:pt idx="4">
                  <c:v>1775.7</c:v>
                </c:pt>
                <c:pt idx="5">
                  <c:v>6966.5</c:v>
                </c:pt>
                <c:pt idx="6">
                  <c:v>7669.5</c:v>
                </c:pt>
                <c:pt idx="7">
                  <c:v>961.3</c:v>
                </c:pt>
                <c:pt idx="8">
                  <c:v>6039.2</c:v>
                </c:pt>
                <c:pt idx="9">
                  <c:v>1761.3</c:v>
                </c:pt>
                <c:pt idx="10">
                  <c:v>3131.0</c:v>
                </c:pt>
                <c:pt idx="11">
                  <c:v>5613.1</c:v>
                </c:pt>
                <c:pt idx="12">
                  <c:v>1594.5</c:v>
                </c:pt>
                <c:pt idx="13">
                  <c:v>1508.6</c:v>
                </c:pt>
                <c:pt idx="14">
                  <c:v>1069.2</c:v>
                </c:pt>
                <c:pt idx="15">
                  <c:v>770.600000000000</c:v>
                </c:pt>
                <c:pt idx="16">
                  <c:v>199.8</c:v>
                </c:pt>
                <c:pt idx="17">
                  <c:v>43044.0</c:v>
                </c:pt>
                <c:pt idx="18">
                  <c:v>41251.4</c:v>
                </c:pt>
              </c:numCache>
            </c:numRef>
          </c:val>
        </c:ser>
        <c:dLbls>
          <c:showLegendKey val="0"/>
          <c:showVal val="0"/>
          <c:showCatName val="0"/>
          <c:showSerName val="0"/>
          <c:showPercent val="0"/>
          <c:showBubbleSize val="0"/>
        </c:dLbls>
        <c:gapWidth val="219"/>
        <c:overlap val="-27"/>
        <c:axId val="998214704"/>
        <c:axId val="998219024"/>
      </c:barChart>
      <c:catAx>
        <c:axId val="998214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998219024"/>
        <c:crosses val="autoZero"/>
        <c:auto val="1"/>
        <c:lblAlgn val="ctr"/>
        <c:lblOffset val="100"/>
        <c:noMultiLvlLbl val="0"/>
      </c:catAx>
      <c:valAx>
        <c:axId val="998219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9982147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[PIB por categoría economica.xlsx]Hoja4!TablaDinámica25</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Hoja4!$B$3:$B$4</c:f>
              <c:strCache>
                <c:ptCount val="1"/>
                <c:pt idx="0">
                  <c:v>2017</c:v>
                </c:pt>
              </c:strCache>
            </c:strRef>
          </c:tx>
          <c:spPr>
            <a:solidFill>
              <a:schemeClr val="accent1"/>
            </a:solidFill>
            <a:ln>
              <a:noFill/>
            </a:ln>
            <a:effectLst/>
          </c:spPr>
          <c:invertIfNegative val="0"/>
          <c:cat>
            <c:strRef>
              <c:f>Hoja4!$A$5:$A$24</c:f>
              <c:strCache>
                <c:ptCount val="19"/>
                <c:pt idx="0">
                  <c:v>A</c:v>
                </c:pt>
                <c:pt idx="1">
                  <c:v>B</c:v>
                </c:pt>
                <c:pt idx="2">
                  <c:v>C</c:v>
                </c:pt>
                <c:pt idx="3">
                  <c:v>D</c:v>
                </c:pt>
                <c:pt idx="4">
                  <c:v>E</c:v>
                </c:pt>
                <c:pt idx="5">
                  <c:v>F</c:v>
                </c:pt>
                <c:pt idx="6">
                  <c:v>G</c:v>
                </c:pt>
                <c:pt idx="7">
                  <c:v>H</c:v>
                </c:pt>
                <c:pt idx="8">
                  <c:v>I</c:v>
                </c:pt>
                <c:pt idx="9">
                  <c:v>IMP</c:v>
                </c:pt>
                <c:pt idx="10">
                  <c:v>J</c:v>
                </c:pt>
                <c:pt idx="11">
                  <c:v>K</c:v>
                </c:pt>
                <c:pt idx="12">
                  <c:v>L</c:v>
                </c:pt>
                <c:pt idx="13">
                  <c:v>M</c:v>
                </c:pt>
                <c:pt idx="14">
                  <c:v>N</c:v>
                </c:pt>
                <c:pt idx="15">
                  <c:v>O</c:v>
                </c:pt>
                <c:pt idx="16">
                  <c:v>P</c:v>
                </c:pt>
                <c:pt idx="17">
                  <c:v>PIBPC</c:v>
                </c:pt>
                <c:pt idx="18">
                  <c:v>VAB</c:v>
                </c:pt>
              </c:strCache>
            </c:strRef>
          </c:cat>
          <c:val>
            <c:numRef>
              <c:f>Hoja4!$B$5:$B$24</c:f>
              <c:numCache>
                <c:formatCode>General</c:formatCode>
                <c:ptCount val="19"/>
                <c:pt idx="0">
                  <c:v>789.8</c:v>
                </c:pt>
                <c:pt idx="1">
                  <c:v>162.1</c:v>
                </c:pt>
                <c:pt idx="2">
                  <c:v>718.6</c:v>
                </c:pt>
                <c:pt idx="3">
                  <c:v>2139.1</c:v>
                </c:pt>
                <c:pt idx="4">
                  <c:v>1662.6</c:v>
                </c:pt>
                <c:pt idx="5">
                  <c:v>6743.9</c:v>
                </c:pt>
                <c:pt idx="6">
                  <c:v>7228.3</c:v>
                </c:pt>
                <c:pt idx="7">
                  <c:v>995.6</c:v>
                </c:pt>
                <c:pt idx="8">
                  <c:v>5368.2</c:v>
                </c:pt>
                <c:pt idx="9">
                  <c:v>1763.9</c:v>
                </c:pt>
                <c:pt idx="10">
                  <c:v>2937.6</c:v>
                </c:pt>
                <c:pt idx="11">
                  <c:v>5345.30000000000</c:v>
                </c:pt>
                <c:pt idx="12">
                  <c:v>1393.6</c:v>
                </c:pt>
                <c:pt idx="13">
                  <c:v>1264.3</c:v>
                </c:pt>
                <c:pt idx="14">
                  <c:v>955.8</c:v>
                </c:pt>
                <c:pt idx="15">
                  <c:v>762.9</c:v>
                </c:pt>
                <c:pt idx="16">
                  <c:v>172.0</c:v>
                </c:pt>
                <c:pt idx="17">
                  <c:v>40312.8</c:v>
                </c:pt>
                <c:pt idx="18">
                  <c:v>38541.4</c:v>
                </c:pt>
              </c:numCache>
            </c:numRef>
          </c:val>
        </c:ser>
        <c:ser>
          <c:idx val="1"/>
          <c:order val="1"/>
          <c:tx>
            <c:strRef>
              <c:f>Hoja4!$C$3:$C$4</c:f>
              <c:strCache>
                <c:ptCount val="1"/>
                <c:pt idx="0">
                  <c:v>2018</c:v>
                </c:pt>
              </c:strCache>
            </c:strRef>
          </c:tx>
          <c:spPr>
            <a:solidFill>
              <a:schemeClr val="accent2"/>
            </a:solidFill>
            <a:ln>
              <a:noFill/>
            </a:ln>
            <a:effectLst/>
          </c:spPr>
          <c:invertIfNegative val="0"/>
          <c:cat>
            <c:strRef>
              <c:f>Hoja4!$A$5:$A$24</c:f>
              <c:strCache>
                <c:ptCount val="19"/>
                <c:pt idx="0">
                  <c:v>A</c:v>
                </c:pt>
                <c:pt idx="1">
                  <c:v>B</c:v>
                </c:pt>
                <c:pt idx="2">
                  <c:v>C</c:v>
                </c:pt>
                <c:pt idx="3">
                  <c:v>D</c:v>
                </c:pt>
                <c:pt idx="4">
                  <c:v>E</c:v>
                </c:pt>
                <c:pt idx="5">
                  <c:v>F</c:v>
                </c:pt>
                <c:pt idx="6">
                  <c:v>G</c:v>
                </c:pt>
                <c:pt idx="7">
                  <c:v>H</c:v>
                </c:pt>
                <c:pt idx="8">
                  <c:v>I</c:v>
                </c:pt>
                <c:pt idx="9">
                  <c:v>IMP</c:v>
                </c:pt>
                <c:pt idx="10">
                  <c:v>J</c:v>
                </c:pt>
                <c:pt idx="11">
                  <c:v>K</c:v>
                </c:pt>
                <c:pt idx="12">
                  <c:v>L</c:v>
                </c:pt>
                <c:pt idx="13">
                  <c:v>M</c:v>
                </c:pt>
                <c:pt idx="14">
                  <c:v>N</c:v>
                </c:pt>
                <c:pt idx="15">
                  <c:v>O</c:v>
                </c:pt>
                <c:pt idx="16">
                  <c:v>P</c:v>
                </c:pt>
                <c:pt idx="17">
                  <c:v>PIBPC</c:v>
                </c:pt>
                <c:pt idx="18">
                  <c:v>VAB</c:v>
                </c:pt>
              </c:strCache>
            </c:strRef>
          </c:cat>
          <c:val>
            <c:numRef>
              <c:f>Hoja4!$C$5:$C$24</c:f>
              <c:numCache>
                <c:formatCode>General</c:formatCode>
                <c:ptCount val="19"/>
                <c:pt idx="0">
                  <c:v>822.0</c:v>
                </c:pt>
                <c:pt idx="1">
                  <c:v>158.6</c:v>
                </c:pt>
                <c:pt idx="2">
                  <c:v>738.4</c:v>
                </c:pt>
                <c:pt idx="3">
                  <c:v>2166.5</c:v>
                </c:pt>
                <c:pt idx="4">
                  <c:v>1698.7</c:v>
                </c:pt>
                <c:pt idx="5">
                  <c:v>6960.3</c:v>
                </c:pt>
                <c:pt idx="6">
                  <c:v>7513.4</c:v>
                </c:pt>
                <c:pt idx="7">
                  <c:v>965.3</c:v>
                </c:pt>
                <c:pt idx="8">
                  <c:v>5678.9</c:v>
                </c:pt>
                <c:pt idx="9">
                  <c:v>1776.2</c:v>
                </c:pt>
                <c:pt idx="10">
                  <c:v>3030.7</c:v>
                </c:pt>
                <c:pt idx="11">
                  <c:v>5490.0</c:v>
                </c:pt>
                <c:pt idx="12">
                  <c:v>1503.1</c:v>
                </c:pt>
                <c:pt idx="13">
                  <c:v>1434.5</c:v>
                </c:pt>
                <c:pt idx="14">
                  <c:v>1019.5</c:v>
                </c:pt>
                <c:pt idx="15">
                  <c:v>778.7</c:v>
                </c:pt>
                <c:pt idx="16">
                  <c:v>176.5</c:v>
                </c:pt>
                <c:pt idx="17">
                  <c:v>41798.5</c:v>
                </c:pt>
                <c:pt idx="18">
                  <c:v>40005.5</c:v>
                </c:pt>
              </c:numCache>
            </c:numRef>
          </c:val>
        </c:ser>
        <c:ser>
          <c:idx val="2"/>
          <c:order val="2"/>
          <c:tx>
            <c:strRef>
              <c:f>Hoja4!$D$3:$D$4</c:f>
              <c:strCache>
                <c:ptCount val="1"/>
                <c:pt idx="0">
                  <c:v>2019</c:v>
                </c:pt>
              </c:strCache>
            </c:strRef>
          </c:tx>
          <c:spPr>
            <a:solidFill>
              <a:schemeClr val="accent3"/>
            </a:solidFill>
            <a:ln>
              <a:noFill/>
            </a:ln>
            <a:effectLst/>
          </c:spPr>
          <c:invertIfNegative val="0"/>
          <c:cat>
            <c:strRef>
              <c:f>Hoja4!$A$5:$A$24</c:f>
              <c:strCache>
                <c:ptCount val="19"/>
                <c:pt idx="0">
                  <c:v>A</c:v>
                </c:pt>
                <c:pt idx="1">
                  <c:v>B</c:v>
                </c:pt>
                <c:pt idx="2">
                  <c:v>C</c:v>
                </c:pt>
                <c:pt idx="3">
                  <c:v>D</c:v>
                </c:pt>
                <c:pt idx="4">
                  <c:v>E</c:v>
                </c:pt>
                <c:pt idx="5">
                  <c:v>F</c:v>
                </c:pt>
                <c:pt idx="6">
                  <c:v>G</c:v>
                </c:pt>
                <c:pt idx="7">
                  <c:v>H</c:v>
                </c:pt>
                <c:pt idx="8">
                  <c:v>I</c:v>
                </c:pt>
                <c:pt idx="9">
                  <c:v>IMP</c:v>
                </c:pt>
                <c:pt idx="10">
                  <c:v>J</c:v>
                </c:pt>
                <c:pt idx="11">
                  <c:v>K</c:v>
                </c:pt>
                <c:pt idx="12">
                  <c:v>L</c:v>
                </c:pt>
                <c:pt idx="13">
                  <c:v>M</c:v>
                </c:pt>
                <c:pt idx="14">
                  <c:v>N</c:v>
                </c:pt>
                <c:pt idx="15">
                  <c:v>O</c:v>
                </c:pt>
                <c:pt idx="16">
                  <c:v>P</c:v>
                </c:pt>
                <c:pt idx="17">
                  <c:v>PIBPC</c:v>
                </c:pt>
                <c:pt idx="18">
                  <c:v>VAB</c:v>
                </c:pt>
              </c:strCache>
            </c:strRef>
          </c:cat>
          <c:val>
            <c:numRef>
              <c:f>Hoja4!$D$5:$D$24</c:f>
              <c:numCache>
                <c:formatCode>General</c:formatCode>
                <c:ptCount val="19"/>
                <c:pt idx="0">
                  <c:v>908.0</c:v>
                </c:pt>
                <c:pt idx="1">
                  <c:v>131.7</c:v>
                </c:pt>
                <c:pt idx="2">
                  <c:v>1025.7</c:v>
                </c:pt>
                <c:pt idx="3">
                  <c:v>2113.0</c:v>
                </c:pt>
                <c:pt idx="4">
                  <c:v>1775.7</c:v>
                </c:pt>
                <c:pt idx="5">
                  <c:v>6966.5</c:v>
                </c:pt>
                <c:pt idx="6">
                  <c:v>7669.5</c:v>
                </c:pt>
                <c:pt idx="7">
                  <c:v>961.3</c:v>
                </c:pt>
                <c:pt idx="8">
                  <c:v>6039.2</c:v>
                </c:pt>
                <c:pt idx="9">
                  <c:v>1761.3</c:v>
                </c:pt>
                <c:pt idx="10">
                  <c:v>3131.0</c:v>
                </c:pt>
                <c:pt idx="11">
                  <c:v>5613.1</c:v>
                </c:pt>
                <c:pt idx="12">
                  <c:v>1594.5</c:v>
                </c:pt>
                <c:pt idx="13">
                  <c:v>1508.6</c:v>
                </c:pt>
                <c:pt idx="14">
                  <c:v>1069.2</c:v>
                </c:pt>
                <c:pt idx="15">
                  <c:v>770.600000000000</c:v>
                </c:pt>
                <c:pt idx="16">
                  <c:v>199.8</c:v>
                </c:pt>
                <c:pt idx="17">
                  <c:v>43044.0</c:v>
                </c:pt>
                <c:pt idx="18">
                  <c:v>41251.4</c:v>
                </c:pt>
              </c:numCache>
            </c:numRef>
          </c:val>
        </c:ser>
        <c:dLbls>
          <c:showLegendKey val="0"/>
          <c:showVal val="0"/>
          <c:showCatName val="0"/>
          <c:showSerName val="0"/>
          <c:showPercent val="0"/>
          <c:showBubbleSize val="0"/>
        </c:dLbls>
        <c:gapWidth val="219"/>
        <c:overlap val="-27"/>
        <c:axId val="998214704"/>
        <c:axId val="998219024"/>
      </c:barChart>
      <c:catAx>
        <c:axId val="998214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998219024"/>
        <c:crosses val="autoZero"/>
        <c:auto val="1"/>
        <c:lblAlgn val="ctr"/>
        <c:lblOffset val="100"/>
        <c:noMultiLvlLbl val="0"/>
      </c:catAx>
      <c:valAx>
        <c:axId val="998219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9982147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[PIB por categoría economica.xlsx]Hoja1!TablaDinámica17</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Hoja1!$B$1</c:f>
              <c:strCache>
                <c:ptCount val="1"/>
                <c:pt idx="0">
                  <c:v>Total</c:v>
                </c:pt>
              </c:strCache>
            </c:strRef>
          </c:tx>
          <c:spPr>
            <a:solidFill>
              <a:schemeClr val="accent1"/>
            </a:solidFill>
            <a:ln>
              <a:noFill/>
            </a:ln>
            <a:effectLst/>
          </c:spPr>
          <c:invertIfNegative val="0"/>
          <c:cat>
            <c:multiLvlStrRef>
              <c:f>Hoja1!$A$2:$A$23</c:f>
              <c:multiLvlStrCache>
                <c:ptCount val="19"/>
                <c:lvl>
                  <c:pt idx="1">
                    <c:v>B   PESCA</c:v>
                  </c:pt>
                  <c:pt idx="6">
                    <c:v>G   COMERCIO AL POR MAYOR Y AL POR MENOR; REPARACIÓN DE VEHÍCULOS AUTOMOTORES, MOTOCICLETAS, EFECTOS PERSONALES Y ENSERES DOMÉSTICOS</c:v>
                  </c:pt>
                </c:lvl>
                <c:lvl>
                  <c:pt idx="0">
                    <c:v>A</c:v>
                  </c:pt>
                  <c:pt idx="1">
                    <c:v>B</c:v>
                  </c:pt>
                  <c:pt idx="2">
                    <c:v>C</c:v>
                  </c:pt>
                  <c:pt idx="3">
                    <c:v>D</c:v>
                  </c:pt>
                  <c:pt idx="4">
                    <c:v>E</c:v>
                  </c:pt>
                  <c:pt idx="5">
                    <c:v>F</c:v>
                  </c:pt>
                  <c:pt idx="6">
                    <c:v>G</c:v>
                  </c:pt>
                  <c:pt idx="7">
                    <c:v>H</c:v>
                  </c:pt>
                  <c:pt idx="8">
                    <c:v>I</c:v>
                  </c:pt>
                  <c:pt idx="9">
                    <c:v>IMP</c:v>
                  </c:pt>
                  <c:pt idx="10">
                    <c:v>J</c:v>
                  </c:pt>
                  <c:pt idx="11">
                    <c:v>K</c:v>
                  </c:pt>
                  <c:pt idx="12">
                    <c:v>L</c:v>
                  </c:pt>
                  <c:pt idx="13">
                    <c:v>M</c:v>
                  </c:pt>
                  <c:pt idx="14">
                    <c:v>N</c:v>
                  </c:pt>
                  <c:pt idx="15">
                    <c:v>O</c:v>
                  </c:pt>
                  <c:pt idx="16">
                    <c:v>P</c:v>
                  </c:pt>
                  <c:pt idx="17">
                    <c:v>PIBPC</c:v>
                  </c:pt>
                  <c:pt idx="18">
                    <c:v>VAB</c:v>
                  </c:pt>
                </c:lvl>
              </c:multiLvlStrCache>
            </c:multiLvlStrRef>
          </c:cat>
          <c:val>
            <c:numRef>
              <c:f>Hoja1!$B$2:$B$23</c:f>
              <c:numCache>
                <c:formatCode>General</c:formatCode>
                <c:ptCount val="19"/>
                <c:pt idx="0">
                  <c:v>2519.8</c:v>
                </c:pt>
                <c:pt idx="1">
                  <c:v>452.4</c:v>
                </c:pt>
                <c:pt idx="2">
                  <c:v>2482.70000000000</c:v>
                </c:pt>
                <c:pt idx="3">
                  <c:v>6418.6</c:v>
                </c:pt>
                <c:pt idx="4">
                  <c:v>5137.0</c:v>
                </c:pt>
                <c:pt idx="5">
                  <c:v>20670.7</c:v>
                </c:pt>
                <c:pt idx="6">
                  <c:v>22411.2</c:v>
                </c:pt>
                <c:pt idx="7">
                  <c:v>2922.2</c:v>
                </c:pt>
                <c:pt idx="8">
                  <c:v>17086.3</c:v>
                </c:pt>
                <c:pt idx="9">
                  <c:v>5301.4</c:v>
                </c:pt>
                <c:pt idx="10">
                  <c:v>9099.3</c:v>
                </c:pt>
                <c:pt idx="11">
                  <c:v>16448.4</c:v>
                </c:pt>
                <c:pt idx="12">
                  <c:v>4491.2</c:v>
                </c:pt>
                <c:pt idx="13">
                  <c:v>4207.40000000000</c:v>
                </c:pt>
                <c:pt idx="14">
                  <c:v>3044.50000000000</c:v>
                </c:pt>
                <c:pt idx="15">
                  <c:v>2312.2</c:v>
                </c:pt>
                <c:pt idx="16">
                  <c:v>548.3</c:v>
                </c:pt>
                <c:pt idx="17">
                  <c:v>125155.3</c:v>
                </c:pt>
                <c:pt idx="18">
                  <c:v>119798.300000000</c:v>
                </c:pt>
              </c:numCache>
            </c:numRef>
          </c:val>
        </c:ser>
        <c:dLbls>
          <c:showLegendKey val="0"/>
          <c:showVal val="0"/>
          <c:showCatName val="0"/>
          <c:showSerName val="0"/>
          <c:showPercent val="0"/>
          <c:showBubbleSize val="0"/>
        </c:dLbls>
        <c:gapWidth val="219"/>
        <c:overlap val="-27"/>
        <c:axId val="998223704"/>
        <c:axId val="998220464"/>
      </c:barChart>
      <c:catAx>
        <c:axId val="998223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998220464"/>
        <c:crosses val="autoZero"/>
        <c:auto val="1"/>
        <c:lblAlgn val="ctr"/>
        <c:lblOffset val="100"/>
        <c:noMultiLvlLbl val="0"/>
      </c:catAx>
      <c:valAx>
        <c:axId val="998220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9982237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barChart>
        <c:barDir val="col"/>
        <c:grouping val="clustered"/>
        <c:varyColors val="0"/>
        <c:ser>
          <c:idx val="0"/>
          <c:order val="0"/>
          <c:tx>
            <c:strRef>
              <c:f>Correlacion!$C$10</c:f>
              <c:strCache>
                <c:ptCount val="1"/>
                <c:pt idx="0">
                  <c:v>Corriente/Constante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Correlacion!$B$11:$B$13</c:f>
              <c:numCache>
                <c:formatCode>General</c:formatCode>
                <c:ptCount val="3"/>
                <c:pt idx="0">
                  <c:v>2017.0</c:v>
                </c:pt>
                <c:pt idx="1">
                  <c:v>2018.0</c:v>
                </c:pt>
                <c:pt idx="2">
                  <c:v>2019.0</c:v>
                </c:pt>
              </c:numCache>
            </c:numRef>
          </c:cat>
          <c:val>
            <c:numRef>
              <c:f>Correlacion!$C$11:$C$13</c:f>
              <c:numCache>
                <c:formatCode>General</c:formatCode>
                <c:ptCount val="3"/>
                <c:pt idx="0">
                  <c:v>0.646983031979216</c:v>
                </c:pt>
                <c:pt idx="1">
                  <c:v>0.642418580788815</c:v>
                </c:pt>
                <c:pt idx="2">
                  <c:v>0.641413790883597</c:v>
                </c:pt>
              </c:numCache>
            </c:numRef>
          </c:val>
        </c:ser>
        <c:dLbls>
          <c:showLegendKey val="0"/>
          <c:showVal val="1"/>
          <c:showCatName val="0"/>
          <c:showSerName val="0"/>
          <c:showPercent val="0"/>
          <c:showBubbleSize val="0"/>
        </c:dLbls>
        <c:gapWidth val="150"/>
        <c:overlap val="-25"/>
        <c:axId val="1584206848"/>
        <c:axId val="1584150784"/>
      </c:barChart>
      <c:catAx>
        <c:axId val="1584206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584150784"/>
        <c:crosses val="autoZero"/>
        <c:auto val="1"/>
        <c:lblAlgn val="ctr"/>
        <c:lblOffset val="100"/>
        <c:noMultiLvlLbl val="0"/>
      </c:catAx>
      <c:valAx>
        <c:axId val="1584150784"/>
        <c:scaling>
          <c:orientation val="minMax"/>
        </c:scaling>
        <c:delete val="1"/>
        <c:axPos val="l"/>
        <c:numFmt formatCode="General" sourceLinked="1"/>
        <c:majorTickMark val="none"/>
        <c:minorTickMark val="none"/>
        <c:tickLblPos val="nextTo"/>
        <c:crossAx val="15842068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Words>5118</Words>
  <Pages>53</Pages>
  <Characters>27214</Characters>
  <Application>WPS Office</Application>
  <DocSecurity>0</DocSecurity>
  <Paragraphs>1171</Paragraphs>
  <ScaleCrop>false</ScaleCrop>
  <LinksUpToDate>false</LinksUpToDate>
  <CharactersWithSpaces>31923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2023-07-26T04:41:00Z</dcterms:created>
  <dc:creator>Lucía Tapia</dc:creator>
  <lastModifiedBy>SM-P615</lastModifiedBy>
  <dcterms:modified xsi:type="dcterms:W3CDTF">2023-07-26T15:32:44Z</dcterms:modified>
  <revision>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cf701ffc81904d1081535285783b2e12</vt:lpwstr>
  </property>
</Properties>
</file>