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Response to the Editor and Reviewers</w:t>
      </w:r>
    </w:p>
    <w:p>
      <w:pPr/>
      <w:r>
        <w:t xml:space="preserve">Manuscript SMEJMS-D-26-02210</w:t>
      </w:r>
    </w:p>
    <w:p>
      <w:pPr/>
      <w:r>
        <w:t xml:space="preserve">ROI-Aligned Vision-Language Verification and SOP-Guided State Machine for Manual Assembly Monitoring</w:t>
      </w:r>
    </w:p>
    <w:p>
      <w:pPr/>
      <w:r>
        <w:t xml:space="preserve">We thank the editor and reviewers for their detailed comments. The revision clarifies the joint ATP/completion task, adds strong visual alternatives and controlled comparisons, makes the revised Java orchestration interface executable, and narrows claims to the available evidence. Sections, tables and appendices below refer to the accompanying clean revised manuscript. We explicitly identify the original four-part results that cannot be reconstructed and replace or remove them rather than guessing corrected values. The original submission is retained in our archive.</w:t>
      </w:r>
    </w:p>
    <w:p>
      <w:pPr>
        <w:pStyle w:val="Heading1"/>
        <w:keepNext/>
      </w:pPr>
      <w:r>
        <w:t xml:space="preserve">Associate Editor: point-by-point revision and JMS context</w:t>
      </w:r>
    </w:p>
    <w:p>
      <w:pPr/>
      <w:r>
        <w:t xml:space="preserve">We provide a separate response to every numbered comment below. Sections 2.1–2.3 compare the observation, training and procedural interfaces with relevant JMS work, including Selvaraj et al. [9], MaViLa [22] and CoDuAR/Assembly Copilot [23], alongside assembly VLM and human–robot collaboration studies [24,30]. The central empirical question is the combination of action recognition and local completion supervision under a shared interface and controlled view/update budgets; a VLM, ROI cropping or state machine is not individually claimed as new. Software behavior, static recognition, component cost and continuous-video alarms are evaluated and interpreted separately.</w:t>
      </w:r>
    </w:p>
    <w:p>
      <w:pPr>
        <w:pStyle w:val="Heading1"/>
        <w:keepNext/>
      </w:pPr>
      <w:r>
        <w:t xml:space="preserve">Reviewer 1, Comment 1 — inconsistent Table 3 metrics</w:t>
      </w:r>
    </w:p>
    <w:p>
      <w:pPr/>
      <w:r>
        <w:t xml:space="preserve">Comment: FPR and Unfinish accuracy should be complementary, but the original Full-only row reports 60.23% + 29.17% = 89.40%.</w:t>
      </w:r>
    </w:p>
    <w:p>
      <w:pPr/>
      <w:r>
        <w:t xml:space="preserve">Response: We agree. The original sample-level predictions and exact four-part evaluation manifest could not be recovered, so a verified correction or diagnosis of the historical cause is not possible. We have removed those unverifiable numerical results from the current evidence. Section 4.1.2 defines the new 212-training/285-test endpoint split, with 141 Finish and 144 Unfinish test sources. Accuracy counts invalid predictions as errors; false acceptance is FP divided by all 144 Unfinish sources, and invalid mass is reported explicitly. With invalid predictions present, false acceptance and correct-Unfinish accuracy need not sum to 100%; invalid cases must also be accounted for.</w:t>
      </w:r>
    </w:p>
    <w:p>
      <w:pPr/>
      <w:r>
        <w:t xml:space="preserve">Tables 2 and 3 now report explicitly different, auditable three-seed endpoint experiments. Table 2 retains all four VLM supervision recipes, both views, the repeated-Full control and all invalid-output counts. Table 3 compares Mixed-trained VLM, ResNet18, ResNet50 and CLIP on both views with accuracy, false acceptance and Finish recall. This is replacement evidence on the recovered endpoint task, not a reconstruction of the old four-part benchmark. The original 1.67% bound obtained by treating paired views as independent is withdrawn. Sections 4.3 and 5.3 and Appendix G explain the changed scope and remaining recording-provenance limitation.</w:t>
      </w:r>
    </w:p>
    <w:p>
      <w:pPr>
        <w:pStyle w:val="Heading1"/>
        <w:keepNext/>
      </w:pPr>
      <w:r>
        <w:t xml:space="preserve">Reviewer 1, Comment 2 — action vocabulary and Fig. 8</w:t>
      </w:r>
    </w:p>
    <w:p>
      <w:pPr/>
      <w:r>
        <w:t xml:space="preserve">Comment: Reconcile Place/Install/Tighten with the additional Insert class, correct capscrew insertion terminology, and correct the Fig. 8 panel assignments.</w:t>
      </w:r>
    </w:p>
    <w:p>
      <w:pPr/>
      <w:r>
        <w:t xml:space="preserve">Response: Section 4.1.1 and the exact prompts in Appendix A consistently use Place, Install, Insert and Tighten. The 545 recovered ATP test sources contain 162 Place, 36 Install, 200 Insert and 147 Tighten labels. Capscrew insertion is mapped to Insert. SOP operation names and perception labels are distinguished in Section 3.4; repeated screw instances require additional identity evidence. Fig. 7 is explicitly an illustration of three of the four classes.</w:t>
      </w:r>
    </w:p>
    <w:p>
      <w:pPr/>
      <w:r>
        <w:t xml:space="preserve">Fig. 8 has been regenerated from archived predictions of the matched single-GPU M3 seed42 checkpoint on all 545 ATP test sources. Panels are (a) Part, (b) Action and (c) Tool, with counts, row-normalized percentages and an invalid column. It replaces the unrecoverable historical matrix rather than relabelling it as a new experiment. The figure is a declared fixed-checkpoint illustration; Tables 1 and 4 report all four mixtures and all three seeds. The exact matrix counts and prediction source hash accompany the revision.</w:t>
      </w:r>
    </w:p>
    <w:p>
      <w:pPr>
        <w:pStyle w:val="Heading1"/>
        <w:keepNext/>
      </w:pPr>
      <w:r>
        <w:t xml:space="preserve">Reviewer 1, Comment 3 — precision and deployment latency</w:t>
      </w:r>
    </w:p>
    <w:p>
      <w:pPr/>
      <w:r>
        <w:t xml:space="preserve">Comment: State the precision used for the reported results and report latency on representative deployment hardware.</w:t>
      </w:r>
    </w:p>
    <w:p>
      <w:pPr/>
      <w:r>
        <w:t xml:space="preserve">Response: Sections 4.1.2 and 5.2, Table 5 and Appendix B specify BF16 for the reported VLM inference results; the historical NF4 deployment option is not their configuration. Visual-baseline timings use their stated FP32 recipes. New numerical tables report percentages to two decimal places, retaining sample counts, per-seed values and invalid-output counts in the supporting evidence.</w:t>
      </w:r>
    </w:p>
    <w:p>
      <w:pPr/>
      <w:r>
        <w:t xml:space="preserve">On matched H200 measurements with batch size one, 150 fixed sources in both views and ten warm-up calls, mean Full/ROI times are 15.06/12.82 ms for ResNet18, 16.69/14.47 ms for ResNet50, 31.92/24.56 ms for CLIP and 986.17/471.82 ms for the VLM. The separate RTX 4090 VLM measurement gives mean Full/ROI times of 1,369.50/619.40 ms and P95 of 1,392.90/705.90 ms; peak allocated memory is about 16.50/16.02 GiB. These intervals include image reading, preprocessing, transfer, inference and parsing, but exclude detector, camera, network and FSM.</w:t>
      </w:r>
    </w:p>
    <w:p>
      <w:pPr/>
      <w:r>
        <w:t xml:space="preserve">Section 4.5 additionally measures the revised Java scheduling component on the local CPU, using within-JVM warm-up: mean 35.25 µs and P95 37.10 µs over 52,520 accepted-response calls. It includes parsing, state update, admission, alarm-state differences, request selection, snapshots and primary serialization, but excludes visual inference, networking, final log output and startup. We do not add different-device component measurements or claim a complete-system alarm-delay guarantee.</w:t>
      </w:r>
    </w:p>
    <w:p>
      <w:pPr>
        <w:pStyle w:val="Heading1"/>
        <w:keepNext/>
      </w:pPr>
      <w:r>
        <w:t xml:space="preserve">Reviewer 2, Comment 1 — novelty and literature coverage</w:t>
      </w:r>
    </w:p>
    <w:p>
      <w:pPr/>
      <w:r>
        <w:t xml:space="preserve">Comment: Clarify novelty and expand assembly action understanding, compositional understanding, assembly VLMs, LLM-driven assistance and human–robot collaborative assembly.</w:t>
      </w:r>
    </w:p>
    <w:p>
      <w:pPr/>
      <w:r>
        <w:t xml:space="preserve">Response: Sections 1.3 and 2 now distinguish established techniques from the evaluated configuration. The review discusses assembly action recognition [2,3,9], state-based and corrective-action reasoning [16,17,21], manufacturing VLMs [22], compositional dual-hand perception and Assembly Copilot [23], compositional assembly VLM adaptation [24], and human–robot collaboration with quality checking [15,30]. We compare interfaces and task definitions rather than ranking incompatible published scores. Where only verified metadata and abstracts were available, unsupported implementation details are not inferred.</w:t>
      </w:r>
    </w:p>
    <w:p>
      <w:pPr/>
      <w:r>
        <w:t xml:space="preserve">The empirical contribution is evaluated through M0–M3 shared-task controls: ATP only, added Full completion supervision, repeated Full completion examples, and paired Full/ROI examples. The equal-update M2/M3 contrast tests the paired view within one VLM recipe; a shared ResNet50 provides a direct alternative. The orchestration contribution is a reproducible evidence-to-state contract with actual mode selection, target binding and hard admission, evaluated in Sections 3.4 and 4.5. It is not presented as a novel standalone FSM algorithm, uniquely structured VLM output, or evidence of improved alarms.</w:t>
      </w:r>
    </w:p>
    <w:p>
      <w:pPr>
        <w:pStyle w:val="Heading1"/>
        <w:keepNext/>
      </w:pPr>
      <w:r>
        <w:t xml:space="preserve">Reviewer 2, Comment 2 — external baselines and motivation</w:t>
      </w:r>
    </w:p>
    <w:p>
      <w:pPr/>
      <w:r>
        <w:t xml:space="preserve">Comment: Add external baselines and resolve the apparent contradiction in the motivation.</w:t>
      </w:r>
    </w:p>
    <w:p>
      <w:pPr/>
      <w:r>
        <w:t xml:space="preserve">Response: Tables 1–6 and Appendix G compare ResNet18, ResNet50, a frozen CLIP encoder with a trained linear head, the unadapted VLM and a shared-backbone ResNet50 with action/tool/part/state heads. The recovered endpoint task is near saturation: Mixed ROI accuracy is 99.30 ± 0.35% for the VLM, 99.65 ± 0.61% for ResNet18 and 99.88 ± 0.20% for ResNet50. We therefore remove claims of general VLM accuracy superiority. The motivation is instead the explicitly tested shared task/view configuration and programmatic use of local completion evidence; a multi-head visual backbone can also supply that interface.</w:t>
      </w:r>
    </w:p>
    <w:p>
      <w:pPr/>
      <w:r>
        <w:t xml:space="preserve">In the primary shared-VLM comparison, all seeds42/43/44 use one GPU and global batch32. M2/M3 respectively achieve ATP joint accuracy of 91.13 ± 0.42% / 90.15 ± 0.28%, Full completion accuracy of 93.92 ± 1.07% / 96.37 ± 2.94%, and ROI completion accuracy of 94.27 ± 0.41% / 97.43 ± 2.34%. ROI false acceptance changes from 11.34% to 0.46% and Finish recall from 100.00% to 95.27%. This is a measured tradeoff, not a win on every task. All groups and seeds, including the separate endpoint repeated-Full collapse, are retained. The original two-GPU seed42 models are retained only in a separate configuration analysis.</w:t>
      </w:r>
    </w:p>
    <w:p>
      <w:pPr/>
      <w:r>
        <w:t xml:space="preserve">Table 6 and Fig. 11 include all seven symmetric ROI conditions for every Mixed-trained model family and seed. Outcomes are condition dependent rather than a general robustness ranking. The primary 30-epoch visual models remain the strong comparators; both disclosed four-epoch shared-ResNet schedules are also retained. Different pretraining, optimization, precision and input resolutions prevent an equal-compute architecture claim. The LOCO splicing-connectors extension keeps both 360-reference and three-reference baselines; strong PatchCore has higher AUROC than the evaluated VLM. Appendix G reports this negative external result and additional limited state diagnostics without claiming unseen-product or alarm superiority. Higher VLM inference cost is stated explicitly.</w:t>
      </w:r>
    </w:p>
    <w:p>
      <w:pPr>
        <w:pStyle w:val="Heading1"/>
        <w:keepNext/>
      </w:pPr>
      <w:r>
        <w:t xml:space="preserve">Reviewer 2, Comment 3 — missing online FSM and alarm evaluation</w:t>
      </w:r>
    </w:p>
    <w:p>
      <w:pPr/>
      <w:r>
        <w:t xml:space="preserve">Comment: Evaluate the proposed online, confidence-weighted, verification-gated FSM and report alarm precision, recall and delay on the recorded abnormal executions.</w:t>
      </w:r>
    </w:p>
    <w:p>
      <w:pPr/>
      <w:r>
        <w:t xml:space="preserve">Response: We agree that perception accuracy, an ATP-only ordered replay and software tests do not establish complete online monitoring. The original continuous normal/abnormal videos cannot be recovered or re-recorded. The revision therefore distinguishes the following evidence and narrows the claim rather than presenting a substitute experiment as the requested original-video evaluation.</w:t>
      </w:r>
    </w:p>
    <w:p>
      <w:pPr/>
      <w:r>
        <w:t xml:space="preserve">First, Section 4.5 adds an actual revised Java scheduler around the unchanged state-update core. It selects General/Verification and binds each response to its request and target. The SOP uses the author-confirmed partial order: steps 1–7 sequential, steps 8–11 unordered after 7, and every step12–15 dependent on all 8–11 with arbitrary internal order. All576 legal permutations and60 proper-subset premature-transition cases satisfy the hard admission contract. Independent checks cover all 11,174 commands and an additional 27-command alarm/invalid-response suite. The original soft completion flag is distinguished from hard admission; stale out-of-order evidence, latched verification and blocking retry semantics are disclosed. These are new revision capabilities, not attributed to the original CLI.</w:t>
      </w:r>
    </w:p>
    <w:p>
      <w:pPr/>
      <w:r>
        <w:t xml:space="preserve">Second, all 6,840 held-out endpoint predictions from twelve shared-VLM checkpoints and both views are connected to the exact Java verification decision under a synthetic action-ready context. Ground truth is scorer only. Every release agrees with the strict valid Finish output. Table 9 retains all groups and both views, with false and correct releases. This establishes correct programmatic use of the archived perception output; it adds no independent source images, physical execution or independent FSM gain. The CPU path is measured separately. Appendix G.14 additionally retains the real-prediction nine-phase Java replay, explicitly with synthetic time/quotas, unit confidence and Verification disabled.</w:t>
      </w:r>
    </w:p>
    <w:p>
      <w:pPr/>
      <w:r>
        <w:t xml:space="preserve">Third, the limited causal Assembly101 pilot in Section 4.4 and Table 7 actually selects its own mode/target without future frames or frame-level truth. It uses a separately defined toy-task graph, an unadapted base model, training-derived references, and one validation plus one abnormal test recording. On six test mistake events, action-only and confidence-only each yield TP/FP/FN 2/20/4, whereas both gated variants yield 1/21/5. Detected-only mean annotation-start delays are 4.42 s and 12.80 s, with four/five misses retained. The pilot does not demonstrate an alarm benefit, reliable error-type classification, error-free normal-run performance or independently annotated first-visible-error delay. Strict versus normalized JSON parsing is disclosed. Additional official-event state proxies are non-discriminative after conservative filtering, and the small incomplete IndustReal diagnostic supplies no effective downstream verification replacements; neither closes the real-video gap.</w:t>
      </w:r>
    </w:p>
    <w:p>
      <w:pPr/>
      <w:r>
        <w:t xml:space="preserve">We consequently do not claim that the revision establishes improved real-event alarm precision/recall/delay or benefits from confidence weighting. Sections 5.3 and6 state the remaining requirement: task-specific completion truth, trustworthy repeated-instance events, corrective-action semantics, independent entirely normal and abnormal recordings, and observable event onsets. This part of the requested system-level evaluation remains unresolved; the new executable contract and conditional integration establish implementation behavior only.</w:t>
      </w:r>
    </w:p>
    <w:p>
      <w:pPr>
        <w:pStyle w:val="Heading1"/>
        <w:keepNext/>
      </w:pPr>
      <w:r>
        <w:t xml:space="preserve">Reviewer 2, Comment 4 — inconsistent metrics and statistical strength</w:t>
      </w:r>
    </w:p>
    <w:p>
      <w:pPr/>
      <w:r>
        <w:t xml:space="preserve">Comment: Reconcile metrics and sample sizes and strengthen the statistical evidence.</w:t>
      </w:r>
    </w:p>
    <w:p>
      <w:pPr/>
      <w:r>
        <w:t xml:space="preserve">Response: Sections 4.1.2 and5.3 and Appendix G retain source identities, hashes, fixed splits, labels, training seeds, strict parser rules and per-example predictions. The overlapping218-image historical development source is excluded from independent validation and checkpoint selection. The fixed final-epoch rule preserves the original212/285 endpoint boundary. The current ATP task uses1,709 training and545 test sources. Paired Full/ROI views, crop perturbations and repeated seeds are not counted as independent recordings; lost video provenance prevents a recording-level generalization claim.</w:t>
      </w:r>
    </w:p>
    <w:p>
      <w:pPr/>
      <w:r>
        <w:t xml:space="preserve">The endpoint and primary shared-task comparisons report all three fixed seeds with mean and sample SD. Within-VLM paired analyses retain every declared contrast and the disclosed Holm correction families, including all 54 shared-task group/task/seed tests. The complete cross-family diagnostic retains all 108 contrasts as a separate family. Bootstrap intervals are conditional on fixed trained model pairs and unverified source-image exchangeability; they do not estimate uncertainty over new recordings or training seeds. Zero false acceptance among 144 Unfinish sources still has a conditional Wilson 95% upper bound of2.60%. We do not reinterpret the new counts as the missing 519/112-source four-part benchmark or use agreement/subgroup claims without records.</w:t>
      </w:r>
    </w:p>
    <w:p>
      <w:pPr/>
      <w:r>
        <w:t xml:space="preserve">Unverifiable historical numeric appendices and Fig.8 have been removed or replaced; Appendix B now describes the audited configuration, Appendix A supplies the exact shared-task prompts, and Appendix C–F state the relevant scope limitations. New Tables8/9 explicitly label software cases and conditional-image decisions so their denominators cannot be mistaken for independent real executions. The supporting package retains source and analysis manifests, including the corrections and unfavorable results.</w:t>
      </w:r>
    </w:p>
    <w:sectPr>
      <w:pgSz w:w="11906" w:h="16838"/>
      <w:pgMar w:top="1200" w:right="1200" w:bottom="1200" w:left="1200" w:header="600" w:footer="600" w:gutter="0"/>
    </w:sectPr>
  </w:body>
</w:document>
</file>

<file path=word/styles.xml><?xml version="1.0" encoding="utf-8"?>
<w:styles xmlns:w="http://schemas.openxmlformats.org/wordprocessingml/2006/main">
  <w:docDefaults>
    <w:rPrDefault>
      <w:rPr>
        <w:rFonts w:ascii="Times New Roman" w:hAnsi="Times New Roman"/>
        <w:sz w:val="22"/>
      </w:rPr>
    </w:rPrDefault>
  </w:docDefaults>
  <w:style w:type="paragraph" w:default="1" w:styleId="Normal">
    <w:name w:val="Normal"/>
    <w:pPr>
      <w:spacing w:after="140"/>
    </w:pPr>
  </w:style>
  <w:style w:type="paragraph" w:styleId="Title">
    <w:name w:val="Title"/>
    <w:basedOn w:val="Normal"/>
    <w:rPr>
      <w:b/>
      <w:sz w:val="30"/>
    </w:rPr>
  </w:style>
  <w:style w:type="paragraph" w:styleId="Heading1">
    <w:name w:val="heading 1"/>
    <w:basedOn w:val="Normal"/>
    <w:pPr>
      <w:keepNext/>
      <w:spacing w:before="200" w:after="120"/>
    </w:pPr>
    <w:rPr>
      <w:b/>
      <w:sz w:val="25"/>
    </w:rPr>
  </w:style>
</w:styles>
</file>

<file path=word/_rels/document.xml.rels><?xml version="1.0" encoding="UTF-8"?><Relationships xmlns="http://schemas.openxmlformats.org/package/2006/relationships"><Relationship Id="rIdStyles" Type="http://schemas.openxmlformats.org/officeDocument/2006/relationships/styles" Target="styles.xml"/></Relationships>
</file>