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同步数据恢复与 v5 覆盖审计</w:t>
      </w:r>
    </w:p>
    <w:p>
      <w:r>
        <w:t xml:space="preserve">实施说明与验收状态 · Portal 3.52.0 · 2026 年 10 月 27 日</w:t>
      </w:r>
    </w:p>
    <w:p>
      <w:r>
        <w:t xml:space="preserve">结论：复核日志与源码后，定位并修复一个会把本机空数组误判为“删除全部云端数据”的 v5 缺陷。增量同步和新设备首次基线现在都会把空集合当作尚未加载的本地缓存，不据此生成批量删除；已填充集合中的单条删除仍会生成资源墓碑。3.58 MB Schedule 本地恢复导入已取消 1 MB 人为上限。该交付修复了可复现的 Schedule 故障，但并不代表所有业务表都已迁入 v5，也不证明 Azure 503 或手机跨设备验收已完成。</w:t>
      </w:r>
    </w:p>
    <w:p>
      <w:pPr>
        <w:pStyle w:val="Heading1"/>
        <w:keepNext/>
      </w:pPr>
      <w:r>
        <w:t xml:space="preserve">1. 用户可见故障和根因</w:t>
      </w:r>
    </w:p>
    <w:p>
      <w:r>
        <w:t xml:space="preserve">用户报告本机 Schedule 被清空后，客户端仍显示同步成功或最新，但页面中的 CUE、任务等数据为空；部分云端储存项有数据，打开功能后却看不到。此前日志中同一时间段出现了 Azure v5 请求、v4 与 v2 大对象请求，以及服务端 503。协议混跑和服务端延迟解释了请求慢与状态误导，但不能单独证明空白内容是网络造成。</w:t>
      </w:r>
    </w:p>
    <w:p>
      <w:r>
        <w:t xml:space="preserve">源码根因有两层。其一，captureLocalChanges 在增量拉取前对比本地 Schedule 和 IndexedDB 中缓存的 v5 资源。若本地字段存在但为空，例如 cues: [] 或 completions: {}，转换器只产生空的顺序/键资源，随后的缺项比较会把所有缓存云记录排入 v5 删除队列。首次 manifest 基线也可能把空集合误认作本地意图。其二，/schedule 路由只订阅 Schedule 字段中的一部分；但页面本身会显示 CUE 复习、学习历史、练习、计时器和报告。当 v5 已拥有整份 Schedule 后，旧 v4 会跳过整个 Schedule，因此没有列入页面订阅的字段不会从 v5 拉取。两条路径都能造成“云端有记录，功能页却空”或数据被过早删除。</w:t>
      </w:r>
    </w:p>
    <w:p>
      <w:r>
        <w:t xml:space="preserve">这一修复使用保守规则：空数组或空映射本身不是“全部删除”的授权。新设备或刚清空浏览器缓存时，云端完整记录先经 SHA-256 校验，再投影回本机。明确的逐条删除仍然通过非空集合差异生成墓碑；将来若提供“清空整个集合”，必须由单独、明确的用户操作产生可审计意图，不能依靠空快照推断。</w:t>
      </w:r>
    </w:p>
    <w:p>
      <w:pPr>
        <w:pStyle w:val="Heading1"/>
        <w:keepNext/>
      </w:pPr>
      <w:r>
        <w:t xml:space="preserve">2. 本次实现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5100"/>
      </w:tblGrid>
      <w:tr>
        <w:trPr>
          <w:tblHeader/>
        </w:trPr>
        <w:tc>
          <w:tcPr>
            <w:tcW w:type="pct" w:w="25%"/>
            <w:tcMar>
              <w:top w:type="dxa" w:w="120"/>
              <w:left w:type="dxa" w:w="140"/>
              <w:bottom w:type="dxa" w:w="120"/>
              <w:right w:type="dxa" w:w="140"/>
            </w:tcMar>
            <w:vAlign w:val="center"/>
          </w:tcPr>
          <w:p>
            <w:pPr>
              <w:spacing w:after="90" w:before="90"/>
            </w:pPr>
            <w:r>
              <w:t xml:space="preserve">模块</w:t>
            </w:r>
          </w:p>
        </w:tc>
        <w:tc>
          <w:tcPr>
            <w:tcW w:type="pct" w:w="25%"/>
            <w:tcMar>
              <w:top w:type="dxa" w:w="120"/>
              <w:left w:type="dxa" w:w="140"/>
              <w:bottom w:type="dxa" w:w="120"/>
              <w:right w:type="dxa" w:w="140"/>
            </w:tcMar>
            <w:vAlign w:val="center"/>
          </w:tcPr>
          <w:p>
            <w:pPr>
              <w:spacing w:after="90" w:before="90"/>
            </w:pPr>
            <w:r>
              <w:t xml:space="preserve">改动</w:t>
            </w:r>
          </w:p>
        </w:tc>
        <w:tc>
          <w:tcPr>
            <w:tcW w:type="pct" w:w="25%"/>
            <w:tcMar>
              <w:top w:type="dxa" w:w="120"/>
              <w:left w:type="dxa" w:w="140"/>
              <w:bottom w:type="dxa" w:w="120"/>
              <w:right w:type="dxa" w:w="140"/>
            </w:tcMar>
            <w:vAlign w:val="center"/>
          </w:tcPr>
          <w:p>
            <w:pPr>
              <w:spacing w:after="90" w:before="90"/>
            </w:pPr>
            <w:r>
              <w:t xml:space="preserve">数据安全结果</w:t>
            </w:r>
          </w:p>
        </w:tc>
      </w:tr>
      <w:tr>
        <w:trPr>
          <w:tblHeader w:val="false"/>
        </w:trPr>
        <w:tc>
          <w:tcPr>
            <w:tcW w:type="pct" w:w="25%"/>
            <w:tcMar>
              <w:top w:type="dxa" w:w="120"/>
              <w:left w:type="dxa" w:w="140"/>
              <w:bottom w:type="dxa" w:w="120"/>
              <w:right w:type="dxa" w:w="140"/>
            </w:tcMar>
            <w:vAlign w:val="center"/>
          </w:tcPr>
          <w:p>
            <w:pPr>
              <w:spacing w:after="90" w:before="90"/>
            </w:pPr>
            <w:r>
              <w:t xml:space="preserve">v5 变更采集</w:t>
            </w:r>
          </w:p>
        </w:tc>
        <w:tc>
          <w:tcPr>
            <w:tcW w:type="pct" w:w="25%"/>
            <w:tcMar>
              <w:top w:type="dxa" w:w="120"/>
              <w:left w:type="dxa" w:w="140"/>
              <w:bottom w:type="dxa" w:w="120"/>
              <w:right w:type="dxa" w:w="140"/>
            </w:tcMar>
            <w:vAlign w:val="center"/>
          </w:tcPr>
          <w:p>
            <w:pPr>
              <w:spacing w:after="90" w:before="90"/>
            </w:pPr>
            <w:r>
              <w:t xml:space="preserve">Schedule 字段如属于 items/map 且本机集合为空时，不从本机快照生成资源操作；/schedule 补齐页面实际使用的结构化字段。</w:t>
            </w:r>
          </w:p>
        </w:tc>
        <w:tc>
          <w:tcPr>
            <w:tcW w:type="pct" w:w="25%"/>
            <w:tcMar>
              <w:top w:type="dxa" w:w="120"/>
              <w:left w:type="dxa" w:w="140"/>
              <w:bottom w:type="dxa" w:w="120"/>
              <w:right w:type="dxa" w:w="140"/>
            </w:tcMar>
            <w:vAlign w:val="center"/>
          </w:tcPr>
          <w:p>
            <w:pPr>
              <w:spacing w:after="90" w:before="90"/>
            </w:pPr>
            <w:r>
              <w:t xml:space="preserve">避免空缓存触发 delete-all；非空集合中删除单条记录仍按稳定 ID 写入墓碑，所有页面显示的数据都有订阅目标。</w:t>
            </w:r>
          </w:p>
        </w:tc>
      </w:tr>
      <w:tr>
        <w:trPr>
          <w:tblHeader w:val="false"/>
        </w:trPr>
        <w:tc>
          <w:tcPr>
            <w:tcW w:type="pct" w:w="25%"/>
            <w:tcMar>
              <w:top w:type="dxa" w:w="120"/>
              <w:left w:type="dxa" w:w="140"/>
              <w:bottom w:type="dxa" w:w="120"/>
              <w:right w:type="dxa" w:w="140"/>
            </w:tcMar>
            <w:vAlign w:val="center"/>
          </w:tcPr>
          <w:p>
            <w:pPr>
              <w:spacing w:after="90" w:before="90"/>
            </w:pPr>
            <w:r>
              <w:t xml:space="preserve">首次基线事务</w:t>
            </w:r>
          </w:p>
        </w:tc>
        <w:tc>
          <w:tcPr>
            <w:tcW w:type="pct" w:w="25%"/>
            <w:tcMar>
              <w:top w:type="dxa" w:w="120"/>
              <w:left w:type="dxa" w:w="140"/>
              <w:bottom w:type="dxa" w:w="120"/>
              <w:right w:type="dxa" w:w="140"/>
            </w:tcMar>
            <w:vAlign w:val="center"/>
          </w:tcPr>
          <w:p>
            <w:pPr>
              <w:spacing w:after="90" w:before="90"/>
            </w:pPr>
            <w:r>
              <w:t xml:space="preserve">最终基线页合并前跳过空集合字段的本地意图比较。</w:t>
            </w:r>
          </w:p>
        </w:tc>
        <w:tc>
          <w:tcPr>
            <w:tcW w:type="pct" w:w="25%"/>
            <w:tcMar>
              <w:top w:type="dxa" w:w="120"/>
              <w:left w:type="dxa" w:w="140"/>
              <w:bottom w:type="dxa" w:w="120"/>
              <w:right w:type="dxa" w:w="140"/>
            </w:tcMar>
            <w:vAlign w:val="center"/>
          </w:tcPr>
          <w:p>
            <w:pPr>
              <w:spacing w:after="90" w:before="90"/>
            </w:pPr>
            <w:r>
              <w:t xml:space="preserve">防止尚无游标的新设备因空数组创建冲突、空顺序记录或覆盖远端值。</w:t>
            </w:r>
          </w:p>
        </w:tc>
      </w:tr>
      <w:tr>
        <w:trPr>
          <w:tblHeader w:val="false"/>
        </w:trPr>
        <w:tc>
          <w:tcPr>
            <w:tcW w:type="pct" w:w="25%"/>
            <w:tcMar>
              <w:top w:type="dxa" w:w="120"/>
              <w:left w:type="dxa" w:w="140"/>
              <w:bottom w:type="dxa" w:w="120"/>
              <w:right w:type="dxa" w:w="140"/>
            </w:tcMar>
            <w:vAlign w:val="center"/>
          </w:tcPr>
          <w:p>
            <w:pPr>
              <w:spacing w:after="90" w:before="90"/>
            </w:pPr>
            <w:r>
              <w:t xml:space="preserve">状态呈现</w:t>
            </w:r>
          </w:p>
        </w:tc>
        <w:tc>
          <w:tcPr>
            <w:tcW w:type="pct" w:w="25%"/>
            <w:tcMar>
              <w:top w:type="dxa" w:w="120"/>
              <w:left w:type="dxa" w:w="140"/>
              <w:bottom w:type="dxa" w:w="120"/>
              <w:right w:type="dxa" w:w="140"/>
            </w:tcMar>
            <w:vAlign w:val="center"/>
          </w:tcPr>
          <w:p>
            <w:pPr>
              <w:spacing w:after="90" w:before="90"/>
            </w:pPr>
            <w:r>
              <w:t xml:space="preserve">成功状态注明“当前页面所需资源已核对；其他页面会在打开时分别检查”。</w:t>
            </w:r>
          </w:p>
        </w:tc>
        <w:tc>
          <w:tcPr>
            <w:tcW w:type="pct" w:w="25%"/>
            <w:tcMar>
              <w:top w:type="dxa" w:w="120"/>
              <w:left w:type="dxa" w:w="140"/>
              <w:bottom w:type="dxa" w:w="120"/>
              <w:right w:type="dxa" w:w="140"/>
            </w:tcMar>
            <w:vAlign w:val="center"/>
          </w:tcPr>
          <w:p>
            <w:pPr>
              <w:spacing w:after="90" w:before="90"/>
            </w:pPr>
            <w:r>
              <w:t xml:space="preserve">不再把页面级同步状态表述成整个账号全部资源都已检查。</w:t>
            </w:r>
          </w:p>
        </w:tc>
      </w:tr>
      <w:tr>
        <w:trPr>
          <w:tblHeader w:val="false"/>
        </w:trPr>
        <w:tc>
          <w:tcPr>
            <w:tcW w:type="pct" w:w="25%"/>
            <w:tcMar>
              <w:top w:type="dxa" w:w="120"/>
              <w:left w:type="dxa" w:w="140"/>
              <w:bottom w:type="dxa" w:w="120"/>
              <w:right w:type="dxa" w:w="140"/>
            </w:tcMar>
            <w:vAlign w:val="center"/>
          </w:tcPr>
          <w:p>
            <w:pPr>
              <w:spacing w:after="90" w:before="90"/>
            </w:pPr>
            <w:r>
              <w:t xml:space="preserve">本地恢复导入</w:t>
            </w:r>
          </w:p>
        </w:tc>
        <w:tc>
          <w:tcPr>
            <w:tcW w:type="pct" w:w="25%"/>
            <w:tcMar>
              <w:top w:type="dxa" w:w="120"/>
              <w:left w:type="dxa" w:w="140"/>
              <w:bottom w:type="dxa" w:w="120"/>
              <w:right w:type="dxa" w:w="140"/>
            </w:tcMar>
            <w:vAlign w:val="center"/>
          </w:tcPr>
          <w:p>
            <w:pPr>
              <w:spacing w:after="90" w:before="90"/>
            </w:pPr>
            <w:r>
              <w:t xml:space="preserve">为页面级本地 JSON 增加结构、页面、键白名单及 Schedule 内容校验，移除 Schedule、Definitions、对比记忆本地导入的 1 MB 文件大小限制；导入等待本地写队列 flush。</w:t>
            </w:r>
          </w:p>
        </w:tc>
        <w:tc>
          <w:tcPr>
            <w:tcW w:type="pct" w:w="25%"/>
            <w:tcMar>
              <w:top w:type="dxa" w:w="120"/>
              <w:left w:type="dxa" w:w="140"/>
              <w:bottom w:type="dxa" w:w="120"/>
              <w:right w:type="dxa" w:w="140"/>
            </w:tcMar>
            <w:vAlign w:val="center"/>
          </w:tcPr>
          <w:p>
            <w:pPr>
              <w:spacing w:after="90" w:before="90"/>
            </w:pPr>
            <w:r>
              <w:t xml:space="preserve">真实 3.58 MB Schedule 可用于设备间人工恢复；不放宽云端 API 请求体上限，也不放宽凭据过滤。</w:t>
            </w:r>
          </w:p>
        </w:tc>
      </w:tr>
    </w:tbl>
    <w:p>
      <w:r>
        <w:t xml:space="preserve">本地文件导入不是云端同步：它只恢复所选页面到当前设备，并保留导入前的本机版本。若想让导入内容成为跨设备数据，必须随后完成云端 v5 条件写入和回执确认。完整账户档案导入已经移除额外 3.5 MB 前端拒绝，但仍经由带 4 MB 请求体上限的认证 Server Action；该路径服务端读写多张 Supabase 表。本次没有盲目提高请求上限或伪装成本地 v5 导入。</w:t>
      </w:r>
    </w:p>
    <w:p>
      <w:pPr>
        <w:pStyle w:val="Heading1"/>
        <w:keepNext/>
      </w:pPr>
      <w:r>
        <w:t xml:space="preserve">3. 验证结果</w:t>
      </w:r>
    </w:p>
    <w:p>
      <w:r>
        <w:t xml:space="preserve">专项验证：`node --test tests/sync-v5-client.test.mts tests/backup-center.test.mts`，本次改动后的新增与既有用例一并通过。覆盖已有 v5 游标时的空数组/空 map、首次 v5 基线、从非空 CUE 列表删除单条记录、真实 3.58 MB Schedule 页面 JSON 本地导入、Schedule 实际资源订阅和 Definitions/对比记忆路由订阅。完整 test:sync 通过 288 项；TypeScript 无错误；修改文件 ESLint 0 错误及 0 警告；Next.js 生产构建成功。</w:t>
      </w:r>
    </w:p>
    <w:p>
      <w:r>
        <w:t xml:space="preserve">生产日志曾显示 v5 capabilities / changes / records 和部分 v4/v2 请求并存；多次 Azure 服务端 503，最长同步请求在数十秒级。公开站点或 VPN 可达不等于 Azure Functions 到数据库连接正常。用户从香港网络访问客户端也不能消除 Azure 服务端到 PostgreSQL 的连接池、数据库负载或故障。当前没有足够的 Azure Application Insights / Functions 失败请求日志来确认服务端 503 根因。</w:t>
      </w:r>
    </w:p>
    <w:p>
      <w:r>
        <w:t xml:space="preserve">专项测试是本机 IndexedDB 合成响应测试，不会写入真实生产业务数据。真实账号的 HTTP 回执、云端回读哈希以及实体手机—电脑同步尚未通过此提交重新验收。部署 READY、健康端点或接口 200 单独都不足以替代上述证据。</w:t>
      </w:r>
    </w:p>
    <w:p>
      <w:pPr>
        <w:pStyle w:val="Heading1"/>
        <w:keepNext/>
      </w:pPr>
      <w:r>
        <w:t xml:space="preserve">4. 数据范围审计</w:t>
      </w:r>
    </w:p>
    <w:p>
      <w:r>
        <w:t xml:space="preserve">Schedule v5 资源模型已经涵盖结构化 Schedule 字段，包括 timetable、任务/完成/取消、CUE 与复习、学习记录、练习、计时器、设置、报告及未识别根字段。页面路由按需选择其中一部分，并非每次都拉取整个账号所有字段；成功状态因此只确认当前页面的订阅资源。</w:t>
      </w:r>
    </w:p>
    <w:p>
      <w:r>
        <w:t xml:space="preserve">Definitions 与对比记忆此前已有 legacyCue Workspace 键分类，但路由订阅缺少 /definitions 和 /properties。本次将这两个实际页面接入 legacyCue/legacyLearning，并加入 route target 回归测试。其他页面的本地键覆盖不应由这两个修复外推。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5100"/>
      </w:tblGrid>
      <w:tr>
        <w:trPr>
          <w:tblHeader/>
        </w:trPr>
        <w:tc>
          <w:tcPr>
            <w:tcW w:type="pct" w:w="25%"/>
            <w:tcMar>
              <w:top w:type="dxa" w:w="120"/>
              <w:left w:type="dxa" w:w="140"/>
              <w:bottom w:type="dxa" w:w="120"/>
              <w:right w:type="dxa" w:w="140"/>
            </w:tcMar>
            <w:vAlign w:val="center"/>
          </w:tcPr>
          <w:p>
            <w:pPr>
              <w:spacing w:after="90" w:before="90"/>
            </w:pPr>
            <w:r>
              <w:t xml:space="preserve">数据家族</w:t>
            </w:r>
          </w:p>
        </w:tc>
        <w:tc>
          <w:tcPr>
            <w:tcW w:type="pct" w:w="25%"/>
            <w:tcMar>
              <w:top w:type="dxa" w:w="120"/>
              <w:left w:type="dxa" w:w="140"/>
              <w:bottom w:type="dxa" w:w="120"/>
              <w:right w:type="dxa" w:w="140"/>
            </w:tcMar>
            <w:vAlign w:val="center"/>
          </w:tcPr>
          <w:p>
            <w:pPr>
              <w:spacing w:after="90" w:before="90"/>
            </w:pPr>
            <w:r>
              <w:t xml:space="preserve">当前观察到的存储/路径</w:t>
            </w:r>
          </w:p>
        </w:tc>
        <w:tc>
          <w:tcPr>
            <w:tcW w:type="pct" w:w="25%"/>
            <w:tcMar>
              <w:top w:type="dxa" w:w="120"/>
              <w:left w:type="dxa" w:w="140"/>
              <w:bottom w:type="dxa" w:w="120"/>
              <w:right w:type="dxa" w:w="140"/>
            </w:tcMar>
            <w:vAlign w:val="center"/>
          </w:tcPr>
          <w:p>
            <w:pPr>
              <w:spacing w:after="90" w:before="90"/>
            </w:pPr>
            <w:r>
              <w:t xml:space="preserve">v5 覆盖判断</w:t>
            </w:r>
          </w:p>
        </w:tc>
      </w:tr>
      <w:tr>
        <w:trPr>
          <w:tblHeader w:val="false"/>
        </w:trPr>
        <w:tc>
          <w:tcPr>
            <w:tcW w:type="pct" w:w="25%"/>
            <w:tcMar>
              <w:top w:type="dxa" w:w="120"/>
              <w:left w:type="dxa" w:w="140"/>
              <w:bottom w:type="dxa" w:w="120"/>
              <w:right w:type="dxa" w:w="140"/>
            </w:tcMar>
            <w:vAlign w:val="center"/>
          </w:tcPr>
          <w:p>
            <w:pPr>
              <w:spacing w:after="90" w:before="90"/>
            </w:pPr>
            <w:r>
              <w:t xml:space="preserve">Schedule 与 CUE</w:t>
            </w:r>
          </w:p>
        </w:tc>
        <w:tc>
          <w:tcPr>
            <w:tcW w:type="pct" w:w="25%"/>
            <w:tcMar>
              <w:top w:type="dxa" w:w="120"/>
              <w:left w:type="dxa" w:w="140"/>
              <w:bottom w:type="dxa" w:w="120"/>
              <w:right w:type="dxa" w:w="140"/>
            </w:tcMar>
            <w:vAlign w:val="center"/>
          </w:tcPr>
          <w:p>
            <w:pPr>
              <w:spacing w:after="90" w:before="90"/>
            </w:pPr>
            <w:r>
              <w:t xml:space="preserve">jackyun_schedule_control_v1、resource-model.ts；另有独立定义卡/卡组键。</w:t>
            </w:r>
          </w:p>
        </w:tc>
        <w:tc>
          <w:tcPr>
            <w:tcW w:type="pct" w:w="25%"/>
            <w:tcMar>
              <w:top w:type="dxa" w:w="120"/>
              <w:left w:type="dxa" w:w="140"/>
              <w:bottom w:type="dxa" w:w="120"/>
              <w:right w:type="dxa" w:w="140"/>
            </w:tcMar>
            <w:vAlign w:val="center"/>
          </w:tcPr>
          <w:p>
            <w:pPr>
              <w:spacing w:after="90" w:before="90"/>
            </w:pPr>
            <w:r>
              <w:t xml:space="preserve">Schedule 结构化字段接入 v5；独立 Workspace 键粒度较粗，仍需要核对真实键、所有者和读写页面。</w:t>
            </w:r>
          </w:p>
        </w:tc>
      </w:tr>
      <w:tr>
        <w:trPr>
          <w:tblHeader w:val="false"/>
        </w:trPr>
        <w:tc>
          <w:tcPr>
            <w:tcW w:type="pct" w:w="25%"/>
            <w:tcMar>
              <w:top w:type="dxa" w:w="120"/>
              <w:left w:type="dxa" w:w="140"/>
              <w:bottom w:type="dxa" w:w="120"/>
              <w:right w:type="dxa" w:w="140"/>
            </w:tcMar>
            <w:vAlign w:val="center"/>
          </w:tcPr>
          <w:p>
            <w:pPr>
              <w:spacing w:after="90" w:before="90"/>
            </w:pPr>
            <w:r>
              <w:t xml:space="preserve">QuizWise 与测验</w:t>
            </w:r>
          </w:p>
        </w:tc>
        <w:tc>
          <w:tcPr>
            <w:tcW w:type="pct" w:w="25%"/>
            <w:tcMar>
              <w:top w:type="dxa" w:w="120"/>
              <w:left w:type="dxa" w:w="140"/>
              <w:bottom w:type="dxa" w:w="120"/>
              <w:right w:type="dxa" w:w="140"/>
            </w:tcMar>
            <w:vAlign w:val="center"/>
          </w:tcPr>
          <w:p>
            <w:pPr>
              <w:spacing w:after="90" w:before="90"/>
            </w:pPr>
            <w:r>
              <w:t xml:space="preserve">Supabase quiz_* 表；QuizWise IndexedDB 的 quiz_data/offline_answers；quizwise_* 本地键。</w:t>
            </w:r>
          </w:p>
        </w:tc>
        <w:tc>
          <w:tcPr>
            <w:tcW w:type="pct" w:w="25%"/>
            <w:tcMar>
              <w:top w:type="dxa" w:w="120"/>
              <w:left w:type="dxa" w:w="140"/>
              <w:bottom w:type="dxa" w:w="120"/>
              <w:right w:type="dxa" w:w="140"/>
            </w:tcMar>
            <w:vAlign w:val="center"/>
          </w:tcPr>
          <w:p>
            <w:pPr>
              <w:spacing w:after="90" w:before="90"/>
            </w:pPr>
            <w:r>
              <w:t xml:space="preserve">不能整体归为 v5。IndexedDB 答题与离线队列目前不是 v5Resources 的通用资源适配器。</w:t>
            </w:r>
          </w:p>
        </w:tc>
      </w:tr>
      <w:tr>
        <w:trPr>
          <w:tblHeader w:val="false"/>
        </w:trPr>
        <w:tc>
          <w:tcPr>
            <w:tcW w:type="pct" w:w="25%"/>
            <w:tcMar>
              <w:top w:type="dxa" w:w="120"/>
              <w:left w:type="dxa" w:w="140"/>
              <w:bottom w:type="dxa" w:w="120"/>
              <w:right w:type="dxa" w:w="140"/>
            </w:tcMar>
            <w:vAlign w:val="center"/>
          </w:tcPr>
          <w:p>
            <w:pPr>
              <w:spacing w:after="90" w:before="90"/>
            </w:pPr>
            <w:r>
              <w:t xml:space="preserve">学习计划与任务</w:t>
            </w:r>
          </w:p>
        </w:tc>
        <w:tc>
          <w:tcPr>
            <w:tcW w:type="pct" w:w="25%"/>
            <w:tcMar>
              <w:top w:type="dxa" w:w="120"/>
              <w:left w:type="dxa" w:w="140"/>
              <w:bottom w:type="dxa" w:w="120"/>
              <w:right w:type="dxa" w:w="140"/>
            </w:tcMar>
            <w:vAlign w:val="center"/>
          </w:tcPr>
          <w:p>
            <w:pPr>
              <w:spacing w:after="90" w:before="90"/>
            </w:pPr>
            <w:r>
              <w:t xml:space="preserve">study_plans/tasks/syllabus/config/mock_records、companion_learning_queue、offline-workspace outbox 及 Schedule 任务。</w:t>
            </w:r>
          </w:p>
        </w:tc>
        <w:tc>
          <w:tcPr>
            <w:tcW w:type="pct" w:w="25%"/>
            <w:tcMar>
              <w:top w:type="dxa" w:w="120"/>
              <w:left w:type="dxa" w:w="140"/>
              <w:bottom w:type="dxa" w:w="120"/>
              <w:right w:type="dxa" w:w="140"/>
            </w:tcMar>
            <w:vAlign w:val="center"/>
          </w:tcPr>
          <w:p>
            <w:pPr>
              <w:spacing w:after="90" w:before="90"/>
            </w:pPr>
            <w:r>
              <w:t xml:space="preserve">Schedule 任务字段有 v5；独立服务端表与持久离线操作队列需要分别做所有权和回执迁移。</w:t>
            </w:r>
          </w:p>
        </w:tc>
      </w:tr>
      <w:tr>
        <w:trPr>
          <w:tblHeader w:val="false"/>
        </w:trPr>
        <w:tc>
          <w:tcPr>
            <w:tcW w:type="pct" w:w="25%"/>
            <w:tcMar>
              <w:top w:type="dxa" w:w="120"/>
              <w:left w:type="dxa" w:w="140"/>
              <w:bottom w:type="dxa" w:w="120"/>
              <w:right w:type="dxa" w:w="140"/>
            </w:tcMar>
            <w:vAlign w:val="center"/>
          </w:tcPr>
          <w:p>
            <w:pPr>
              <w:spacing w:after="90" w:before="90"/>
            </w:pPr>
            <w:r>
              <w:t xml:space="preserve">IELTS、专注、阅读</w:t>
            </w:r>
          </w:p>
        </w:tc>
        <w:tc>
          <w:tcPr>
            <w:tcW w:type="pct" w:w="25%"/>
            <w:tcMar>
              <w:top w:type="dxa" w:w="120"/>
              <w:left w:type="dxa" w:w="140"/>
              <w:bottom w:type="dxa" w:w="120"/>
              <w:right w:type="dxa" w:w="140"/>
            </w:tcMar>
            <w:vAlign w:val="center"/>
          </w:tcPr>
          <w:p>
            <w:pPr>
              <w:spacing w:after="90" w:before="90"/>
            </w:pPr>
            <w:r>
              <w:t xml:space="preserve">IELTS/练习 API、focus_* 表、reader_books 与阅读进度接口。</w:t>
            </w:r>
          </w:p>
        </w:tc>
        <w:tc>
          <w:tcPr>
            <w:tcW w:type="pct" w:w="25%"/>
            <w:tcMar>
              <w:top w:type="dxa" w:w="120"/>
              <w:left w:type="dxa" w:w="140"/>
              <w:bottom w:type="dxa" w:w="120"/>
              <w:right w:type="dxa" w:w="140"/>
            </w:tcMar>
            <w:vAlign w:val="center"/>
          </w:tcPr>
          <w:p>
            <w:pPr>
              <w:spacing w:after="90" w:before="90"/>
            </w:pPr>
            <w:r>
              <w:t xml:space="preserve">部分本地键进入 Workspace；专用 Supabase / API 记录仍由独立路径拥有，不能仅靠键映射视为已迁移。</w:t>
            </w:r>
          </w:p>
        </w:tc>
      </w:tr>
      <w:tr>
        <w:trPr>
          <w:tblHeader w:val="false"/>
        </w:trPr>
        <w:tc>
          <w:tcPr>
            <w:tcW w:type="pct" w:w="25%"/>
            <w:tcMar>
              <w:top w:type="dxa" w:w="120"/>
              <w:left w:type="dxa" w:w="140"/>
              <w:bottom w:type="dxa" w:w="120"/>
              <w:right w:type="dxa" w:w="140"/>
            </w:tcMar>
            <w:vAlign w:val="center"/>
          </w:tcPr>
          <w:p>
            <w:pPr>
              <w:spacing w:after="90" w:before="90"/>
            </w:pPr>
            <w:r>
              <w:t xml:space="preserve">词汇、诗词、音乐、休闲</w:t>
            </w:r>
          </w:p>
        </w:tc>
        <w:tc>
          <w:tcPr>
            <w:tcW w:type="pct" w:w="25%"/>
            <w:tcMar>
              <w:top w:type="dxa" w:w="120"/>
              <w:left w:type="dxa" w:w="140"/>
              <w:bottom w:type="dxa" w:w="120"/>
              <w:right w:type="dxa" w:w="140"/>
            </w:tcMar>
            <w:vAlign w:val="center"/>
          </w:tcPr>
          <w:p>
            <w:pPr>
              <w:spacing w:after="90" w:before="90"/>
            </w:pPr>
            <w:r>
              <w:t xml:space="preserve">vocab_*、poem_*、music_*、relax_* 表与本地/IndexedDB 内容缓存。</w:t>
            </w:r>
          </w:p>
        </w:tc>
        <w:tc>
          <w:tcPr>
            <w:tcW w:type="pct" w:w="25%"/>
            <w:tcMar>
              <w:top w:type="dxa" w:w="120"/>
              <w:left w:type="dxa" w:w="140"/>
              <w:bottom w:type="dxa" w:w="120"/>
              <w:right w:type="dxa" w:w="140"/>
            </w:tcMar>
            <w:vAlign w:val="center"/>
          </w:tcPr>
          <w:p>
            <w:pPr>
              <w:spacing w:after="90" w:before="90"/>
            </w:pPr>
            <w:r>
              <w:t xml:space="preserve">服务端业务表和大体积缓存需要分开界定；内容缓存通常不应复制，用户进度与创作数据需要 v5 资源定义。</w:t>
            </w:r>
          </w:p>
        </w:tc>
      </w:tr>
      <w:tr>
        <w:trPr>
          <w:tblHeader w:val="false"/>
        </w:trPr>
        <w:tc>
          <w:tcPr>
            <w:tcW w:type="pct" w:w="25%"/>
            <w:tcMar>
              <w:top w:type="dxa" w:w="120"/>
              <w:left w:type="dxa" w:w="140"/>
              <w:bottom w:type="dxa" w:w="120"/>
              <w:right w:type="dxa" w:w="140"/>
            </w:tcMar>
            <w:vAlign w:val="center"/>
          </w:tcPr>
          <w:p>
            <w:pPr>
              <w:spacing w:after="90" w:before="90"/>
            </w:pPr>
            <w:r>
              <w:t xml:space="preserve">个人站点、偏好、备份</w:t>
            </w:r>
          </w:p>
        </w:tc>
        <w:tc>
          <w:tcPr>
            <w:tcW w:type="pct" w:w="25%"/>
            <w:tcMar>
              <w:top w:type="dxa" w:w="120"/>
              <w:left w:type="dxa" w:w="140"/>
              <w:bottom w:type="dxa" w:w="120"/>
              <w:right w:type="dxa" w:w="140"/>
            </w:tcMar>
            <w:vAlign w:val="center"/>
          </w:tcPr>
          <w:p>
            <w:pPr>
              <w:spacing w:after="90" w:before="90"/>
            </w:pPr>
            <w:r>
              <w:t xml:space="preserve">personal_sites、user_settings、legacy_sync_data、页面备份以及本地页面恢复。</w:t>
            </w:r>
          </w:p>
        </w:tc>
        <w:tc>
          <w:tcPr>
            <w:tcW w:type="pct" w:w="25%"/>
            <w:tcMar>
              <w:top w:type="dxa" w:w="120"/>
              <w:left w:type="dxa" w:w="140"/>
              <w:bottom w:type="dxa" w:w="120"/>
              <w:right w:type="dxa" w:w="140"/>
            </w:tcMar>
            <w:vAlign w:val="center"/>
          </w:tcPr>
          <w:p>
            <w:pPr>
              <w:spacing w:after="90" w:before="90"/>
            </w:pPr>
            <w:r>
              <w:t xml:space="preserve">存在 v5 Workspace 个人站点候选和独立备份服务；全量表迁移与完整备份 v5 化尚未完成。</w:t>
            </w:r>
          </w:p>
        </w:tc>
      </w:tr>
    </w:tbl>
    <w:p>
      <w:r>
        <w:t xml:space="preserve">当前 BACKUP_TABLES 清单包含 30 个 Supabase 表；它们与 Schedule 文档及 IndexedDB v5Resources 不是同一数据集合。把表名映射到“页面”或 Workspace 字段，不会自动将该表读写改成 v5，也不能证明所有数据都随设备同步。认证、设备、调试日志、密钥和服务端缓存仍必须保持独立或排除，不可为了“全量”一并复制。</w:t>
      </w:r>
    </w:p>
    <w:p>
      <w:pPr>
        <w:pStyle w:val="Heading1"/>
        <w:keepNext/>
      </w:pPr>
      <w:r>
        <w:t xml:space="preserve">5. 后续里程碑与验收门槛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5100"/>
      </w:tblGrid>
      <w:tr>
        <w:trPr>
          <w:tblHeader/>
        </w:trPr>
        <w:tc>
          <w:tcPr>
            <w:tcW w:type="pct" w:w="25%"/>
            <w:tcMar>
              <w:top w:type="dxa" w:w="120"/>
              <w:left w:type="dxa" w:w="140"/>
              <w:bottom w:type="dxa" w:w="120"/>
              <w:right w:type="dxa" w:w="140"/>
            </w:tcMar>
            <w:vAlign w:val="center"/>
          </w:tcPr>
          <w:p>
            <w:pPr>
              <w:spacing w:after="90" w:before="90"/>
            </w:pPr>
            <w:r>
              <w:t xml:space="preserve">里程碑</w:t>
            </w:r>
          </w:p>
        </w:tc>
        <w:tc>
          <w:tcPr>
            <w:tcW w:type="pct" w:w="25%"/>
            <w:tcMar>
              <w:top w:type="dxa" w:w="120"/>
              <w:left w:type="dxa" w:w="140"/>
              <w:bottom w:type="dxa" w:w="120"/>
              <w:right w:type="dxa" w:w="140"/>
            </w:tcMar>
            <w:vAlign w:val="center"/>
          </w:tcPr>
          <w:p>
            <w:pPr>
              <w:spacing w:after="90" w:before="90"/>
            </w:pPr>
            <w:r>
              <w:t xml:space="preserve">必须完成</w:t>
            </w:r>
          </w:p>
        </w:tc>
        <w:tc>
          <w:tcPr>
            <w:tcW w:type="pct" w:w="25%"/>
            <w:tcMar>
              <w:top w:type="dxa" w:w="120"/>
              <w:left w:type="dxa" w:w="140"/>
              <w:bottom w:type="dxa" w:w="120"/>
              <w:right w:type="dxa" w:w="140"/>
            </w:tcMar>
            <w:vAlign w:val="center"/>
          </w:tcPr>
          <w:p>
            <w:pPr>
              <w:spacing w:after="90" w:before="90"/>
            </w:pPr>
            <w:r>
              <w:t xml:space="preserve">完成证据</w:t>
            </w:r>
          </w:p>
        </w:tc>
      </w:tr>
      <w:tr>
        <w:trPr>
          <w:tblHeader w:val="false"/>
        </w:trPr>
        <w:tc>
          <w:tcPr>
            <w:tcW w:type="pct" w:w="25%"/>
            <w:tcMar>
              <w:top w:type="dxa" w:w="120"/>
              <w:left w:type="dxa" w:w="140"/>
              <w:bottom w:type="dxa" w:w="120"/>
              <w:right w:type="dxa" w:w="140"/>
            </w:tcMar>
            <w:vAlign w:val="center"/>
          </w:tcPr>
          <w:p>
            <w:pPr>
              <w:spacing w:after="90" w:before="90"/>
            </w:pPr>
            <w:r>
              <w:t xml:space="preserve">A. 本次缺陷修复</w:t>
            </w:r>
          </w:p>
        </w:tc>
        <w:tc>
          <w:tcPr>
            <w:tcW w:type="pct" w:w="25%"/>
            <w:tcMar>
              <w:top w:type="dxa" w:w="120"/>
              <w:left w:type="dxa" w:w="140"/>
              <w:bottom w:type="dxa" w:w="120"/>
              <w:right w:type="dxa" w:w="140"/>
            </w:tcMar>
            <w:vAlign w:val="center"/>
          </w:tcPr>
          <w:p>
            <w:pPr>
              <w:spacing w:after="90" w:before="90"/>
            </w:pPr>
            <w:r>
              <w:t xml:space="preserve">空缓存保护、状态边界、3.58 MB 本机导入。</w:t>
            </w:r>
          </w:p>
        </w:tc>
        <w:tc>
          <w:tcPr>
            <w:tcW w:type="pct" w:w="25%"/>
            <w:tcMar>
              <w:top w:type="dxa" w:w="120"/>
              <w:left w:type="dxa" w:w="140"/>
              <w:bottom w:type="dxa" w:w="120"/>
              <w:right w:type="dxa" w:w="140"/>
            </w:tcMar>
            <w:vAlign w:val="center"/>
          </w:tcPr>
          <w:p>
            <w:pPr>
              <w:spacing w:after="90" w:before="90"/>
            </w:pPr>
            <w:r>
              <w:t xml:space="preserve">专项测试 34/34；合并后的完整 test:sync、lint、typecheck/build 重新通过。</w:t>
            </w:r>
          </w:p>
        </w:tc>
      </w:tr>
      <w:tr>
        <w:trPr>
          <w:tblHeader w:val="false"/>
        </w:trPr>
        <w:tc>
          <w:tcPr>
            <w:tcW w:type="pct" w:w="25%"/>
            <w:tcMar>
              <w:top w:type="dxa" w:w="120"/>
              <w:left w:type="dxa" w:w="140"/>
              <w:bottom w:type="dxa" w:w="120"/>
              <w:right w:type="dxa" w:w="140"/>
            </w:tcMar>
            <w:vAlign w:val="center"/>
          </w:tcPr>
          <w:p>
            <w:pPr>
              <w:spacing w:after="90" w:before="90"/>
            </w:pPr>
            <w:r>
              <w:t xml:space="preserve">B. 数据清单归属</w:t>
            </w:r>
          </w:p>
        </w:tc>
        <w:tc>
          <w:tcPr>
            <w:tcW w:type="pct" w:w="25%"/>
            <w:tcMar>
              <w:top w:type="dxa" w:w="120"/>
              <w:left w:type="dxa" w:w="140"/>
              <w:bottom w:type="dxa" w:w="120"/>
              <w:right w:type="dxa" w:w="140"/>
            </w:tcMar>
            <w:vAlign w:val="center"/>
          </w:tcPr>
          <w:p>
            <w:pPr>
              <w:spacing w:after="90" w:before="90"/>
            </w:pPr>
            <w:r>
              <w:t xml:space="preserve">逐表、逐 IndexedDB store、逐本地键记录所有者、CRUD 入口、敏感级别、备份策略、资源 ID、页面订阅和删除语义。</w:t>
            </w:r>
          </w:p>
        </w:tc>
        <w:tc>
          <w:tcPr>
            <w:tcW w:type="pct" w:w="25%"/>
            <w:tcMar>
              <w:top w:type="dxa" w:w="120"/>
              <w:left w:type="dxa" w:w="140"/>
              <w:bottom w:type="dxa" w:w="120"/>
              <w:right w:type="dxa" w:w="140"/>
            </w:tcMar>
            <w:vAlign w:val="center"/>
          </w:tcPr>
          <w:p>
            <w:pPr>
              <w:spacing w:after="90" w:before="90"/>
            </w:pPr>
            <w:r>
              <w:t xml:space="preserve">生成覆盖矩阵；每项分类为 v5、服务器权威、缓存/本地专用或待迁移，并链接相应读写代码和测试。</w:t>
            </w:r>
          </w:p>
        </w:tc>
      </w:tr>
      <w:tr>
        <w:trPr>
          <w:tblHeader w:val="false"/>
        </w:trPr>
        <w:tc>
          <w:tcPr>
            <w:tcW w:type="pct" w:w="25%"/>
            <w:tcMar>
              <w:top w:type="dxa" w:w="120"/>
              <w:left w:type="dxa" w:w="140"/>
              <w:bottom w:type="dxa" w:w="120"/>
              <w:right w:type="dxa" w:w="140"/>
            </w:tcMar>
            <w:vAlign w:val="center"/>
          </w:tcPr>
          <w:p>
            <w:pPr>
              <w:spacing w:after="90" w:before="90"/>
            </w:pPr>
            <w:r>
              <w:t xml:space="preserve">C. 统一客户端同步</w:t>
            </w:r>
          </w:p>
        </w:tc>
        <w:tc>
          <w:tcPr>
            <w:tcW w:type="pct" w:w="25%"/>
            <w:tcMar>
              <w:top w:type="dxa" w:w="120"/>
              <w:left w:type="dxa" w:w="140"/>
              <w:bottom w:type="dxa" w:w="120"/>
              <w:right w:type="dxa" w:w="140"/>
            </w:tcMar>
            <w:vAlign w:val="center"/>
          </w:tcPr>
          <w:p>
            <w:pPr>
              <w:spacing w:after="90" w:before="90"/>
            </w:pPr>
            <w:r>
              <w:t xml:space="preserve">为确认需跨设备的数据实现 v5 records/operations/receipts 适配，IndexedDB 记录、离线队列和游标同事务提交；取消重复协议所有权。</w:t>
            </w:r>
          </w:p>
        </w:tc>
        <w:tc>
          <w:tcPr>
            <w:tcW w:type="pct" w:w="25%"/>
            <w:tcMar>
              <w:top w:type="dxa" w:w="120"/>
              <w:left w:type="dxa" w:w="140"/>
              <w:bottom w:type="dxa" w:w="120"/>
              <w:right w:type="dxa" w:w="140"/>
            </w:tcMar>
            <w:vAlign w:val="center"/>
          </w:tcPr>
          <w:p>
            <w:pPr>
              <w:spacing w:after="90" w:before="90"/>
            </w:pPr>
            <w:r>
              <w:t xml:space="preserve">按领域测试离线重试、幂等、冲突、删除、丢回执、重开恢复与 SHA-256。</w:t>
            </w:r>
          </w:p>
        </w:tc>
      </w:tr>
      <w:tr>
        <w:trPr>
          <w:tblHeader w:val="false"/>
        </w:trPr>
        <w:tc>
          <w:tcPr>
            <w:tcW w:type="pct" w:w="25%"/>
            <w:tcMar>
              <w:top w:type="dxa" w:w="120"/>
              <w:left w:type="dxa" w:w="140"/>
              <w:bottom w:type="dxa" w:w="120"/>
              <w:right w:type="dxa" w:w="140"/>
            </w:tcMar>
            <w:vAlign w:val="center"/>
          </w:tcPr>
          <w:p>
            <w:pPr>
              <w:spacing w:after="90" w:before="90"/>
            </w:pPr>
            <w:r>
              <w:t xml:space="preserve">D. 真实环境读写</w:t>
            </w:r>
          </w:p>
        </w:tc>
        <w:tc>
          <w:tcPr>
            <w:tcW w:type="pct" w:w="25%"/>
            <w:tcMar>
              <w:top w:type="dxa" w:w="120"/>
              <w:left w:type="dxa" w:w="140"/>
              <w:bottom w:type="dxa" w:w="120"/>
              <w:right w:type="dxa" w:w="140"/>
            </w:tcMar>
            <w:vAlign w:val="center"/>
          </w:tcPr>
          <w:p>
            <w:pPr>
              <w:spacing w:after="90" w:before="90"/>
            </w:pPr>
            <w:r>
              <w:t xml:space="preserve">取得 Azure 503 的运行时证据；在受控测试主体用同一生产/预生产 API 完成条件写入、回执查询、重新读取及哈希复算。</w:t>
            </w:r>
          </w:p>
        </w:tc>
        <w:tc>
          <w:tcPr>
            <w:tcW w:type="pct" w:w="25%"/>
            <w:tcMar>
              <w:top w:type="dxa" w:w="120"/>
              <w:left w:type="dxa" w:w="140"/>
              <w:bottom w:type="dxa" w:w="120"/>
              <w:right w:type="dxa" w:w="140"/>
            </w:tcMar>
            <w:vAlign w:val="center"/>
          </w:tcPr>
          <w:p>
            <w:pPr>
              <w:spacing w:after="90" w:before="90"/>
            </w:pPr>
            <w:r>
              <w:t xml:space="preserve">脱敏机器结果含部署 commit、请求 ID、operation ID、回读 hash；不记录口令或业务正文。</w:t>
            </w:r>
          </w:p>
        </w:tc>
      </w:tr>
      <w:tr>
        <w:trPr>
          <w:tblHeader w:val="false"/>
        </w:trPr>
        <w:tc>
          <w:tcPr>
            <w:tcW w:type="pct" w:w="25%"/>
            <w:tcMar>
              <w:top w:type="dxa" w:w="120"/>
              <w:left w:type="dxa" w:w="140"/>
              <w:bottom w:type="dxa" w:w="120"/>
              <w:right w:type="dxa" w:w="140"/>
            </w:tcMar>
            <w:vAlign w:val="center"/>
          </w:tcPr>
          <w:p>
            <w:pPr>
              <w:spacing w:after="90" w:before="90"/>
            </w:pPr>
            <w:r>
              <w:t xml:space="preserve">E. 多设备与发布</w:t>
            </w:r>
          </w:p>
        </w:tc>
        <w:tc>
          <w:tcPr>
            <w:tcW w:type="pct" w:w="25%"/>
            <w:tcMar>
              <w:top w:type="dxa" w:w="120"/>
              <w:left w:type="dxa" w:w="140"/>
              <w:bottom w:type="dxa" w:w="120"/>
              <w:right w:type="dxa" w:w="140"/>
            </w:tcMar>
            <w:vAlign w:val="center"/>
          </w:tcPr>
          <w:p>
            <w:pPr>
              <w:spacing w:after="90" w:before="90"/>
            </w:pPr>
            <w:r>
              <w:t xml:space="preserve">电脑与实体手机双向新增/修改/删除、离线修改后重连、冲突保留及兼容回滚；只在安全条件全满足后扩展灰度。</w:t>
            </w:r>
          </w:p>
        </w:tc>
        <w:tc>
          <w:tcPr>
            <w:tcW w:type="pct" w:w="25%"/>
            <w:tcMar>
              <w:top w:type="dxa" w:w="120"/>
              <w:left w:type="dxa" w:w="140"/>
              <w:bottom w:type="dxa" w:w="120"/>
              <w:right w:type="dxa" w:w="140"/>
            </w:tcMar>
            <w:vAlign w:val="center"/>
          </w:tcPr>
          <w:p>
            <w:pPr>
              <w:spacing w:after="90" w:before="90"/>
            </w:pPr>
            <w:r>
              <w:t xml:space="preserve">两设备日志与资源哈希一致；回滚不丢待发操作；生产部署为 READY 且 SHA 对应合并提交。</w:t>
            </w:r>
          </w:p>
        </w:tc>
      </w:tr>
    </w:tbl>
    <w:p>
      <w:r>
        <w:t xml:space="preserve">真实 v5 端到端验收目前仍差：①变更合并和部署；②Azure Functions 503 的服务端根因与恢复稳定性；③受控真实身份下写入—回执—读回哈希的最新证据；④实体手机参与的双向和离线测试。用户已说明当前没有手机，因此不得将手机验收报告为通过。其他 Supabase 表和 IndexedDB store 尚未全量迁移到 v5，是明确的剩余产品范围，不是本次版本隐式完成的内容。</w:t>
      </w:r>
    </w:p>
    <w:p>
      <w:pPr>
        <w:pStyle w:val="Heading1"/>
        <w:keepNext/>
      </w:pPr>
      <w:r>
        <w:t xml:space="preserve">6. 发布和回滚原则</w:t>
      </w:r>
    </w:p>
    <w:p>
      <w:r>
        <w:t xml:space="preserve">本次不执行 Supabase 分支创建、数据库迁移或生产表修改。不得因网站正常打开、VPN 连接成功、单次请求返回 200 或 Vercel 部署 READY 而宣告同步稳定。生产前端部署只能在完整同步回归和安全检查通过后进行；v5 错误时本机待同步操作保留，禁止把旧快照无条件降级成 v4 全量覆盖。</w:t>
      </w:r>
    </w:p>
    <w:p>
      <w:r>
        <w:t xml:space="preserve">若数据范围迁移失败，先暂停对应领域 v5 写入并保留 outbox、收据、冲突和游标；回滚必须验证兼容投影版本/hash 与旧路径数据一致。用户可用页面级本机 JSON 恢复当前设备，但它不是云端回滚和跨设备验收的替代品。</w:t>
      </w:r>
    </w:p>
    <w:p>
      <w:r>
        <w:t xml:space="preserve">本文件记录本次修复范围和尚缺的端到端条件。没有执行的迁移、尚未验证的业务域、服务端日志和实体设备测试均明确保留为未完成。</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ptos Display" w:cs="Aptos Display" w:eastAsia="Aptos Display" w:hAnsi="Aptos Display"/>
      <w:b/>
      <w:bCs/>
      <w:color w:val="000000"/>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2026-10-27T14:58:37.901Z</dcterms:created>
  <dcterms:modified xsi:type="dcterms:W3CDTF">2026-10-27T14:58:37.903Z</dcterms:modified>
</cp:coreProperties>
</file>

<file path=docProps/custom.xml><?xml version="1.0" encoding="utf-8"?>
<Properties xmlns="http://schemas.openxmlformats.org/officeDocument/2006/custom-properties" xmlns:vt="http://schemas.openxmlformats.org/officeDocument/2006/docPropsVTypes"/>
</file>