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数据库与流量排查报告</w:t>
      </w:r>
    </w:p>
    <w:p>
      <w:pPr>
        <w:spacing w:after="200"/>
      </w:pPr>
      <w:r>
        <w:rPr>
          <w:color w:val="5F7080"/>
          <w:sz w:val="18"/>
        </w:rPr>
        <w:t>只读诊断记录  |  2026年10月20日  |  Supabase 项目 gdcwwlnzylrzrqhaaljq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1F7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163756"/>
                <w:sz w:val="20"/>
              </w:rPr>
              <w:t>结论：目前不像是单纯“带宽爆了”，更值得优先处理的是 PostgREST 超时和重复读取。过去24小时边缘日志记录约2,954个请求，日志中可见响应长度合计约0.37 MiB，但这不是完整出站流量。另有259条 PostgREST 超时管理器终止记录。数据体积方面，schedule_version_backups 存有304个约160 KB的快照，集中在一个账户、约34小时内产生；先核查自动写入频率，暂不删除备份。</w:t>
            </w:r>
          </w:p>
        </w:tc>
      </w:tr>
    </w:tbl>
    <w:p/>
    <w:p>
      <w:pPr>
        <w:pStyle w:val="Heading1"/>
      </w:pPr>
      <w:r>
        <w:t>1 检查范围与版本</w:t>
      </w:r>
    </w:p>
    <w:p>
      <w:r>
        <w:t>本次检查使用 Supabase 只读项目查询、最近24小时日志汇总，以及 Main 中的迁移和应用代码。没有写入或删除数据库数据，也没有部署数据库变更。检查时主仓库 package.json 为 3.28.2，与本机 Main 所指提交中的版本一致；工作区已有其他未提交改动，本报告只作为独立新增文件。</w:t>
      </w:r>
    </w:p>
    <w:p>
      <w:r>
        <w:t>时间窗：日志工具默认的最近24小时，样例时间约为 2026-10-19 13:32 UTC 至 2026-10-20 13:32 UTC。项目状态为 ACTIVE_HEALTHY，PostgreSQL 17.6.1.084。数据库关系表统计可能受 PostgreSQL 统计信息更新时间影响；本报告对关键表另外执行了精确 COUNT。</w:t>
      </w:r>
    </w:p>
    <w:p>
      <w:pPr>
        <w:pStyle w:val="Heading1"/>
      </w:pPr>
      <w:r>
        <w:t>2 目前可观测的流量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vAlign w:val="center"/>
            <w:shd w:fill="164A6F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952"/>
            <w:vAlign w:val="center"/>
            <w:shd w:fill="164A6F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观察值</w:t>
            </w:r>
          </w:p>
        </w:tc>
        <w:tc>
          <w:tcPr>
            <w:tcW w:type="dxa" w:w="4968"/>
            <w:vAlign w:val="center"/>
            <w:shd w:fill="164A6F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如何理解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边缘请求日志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2,954 条 / 24小时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这是边缘日志事件数，适合作请求量级参考。</w:t>
            </w:r>
          </w:p>
        </w:tc>
      </w:tr>
      <w:tr>
        <w:tc>
          <w:tcPr>
            <w:tcW w:type="dxa" w:w="2232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日志可见响应长度</w:t>
            </w:r>
          </w:p>
        </w:tc>
        <w:tc>
          <w:tcPr>
            <w:tcW w:type="dxa" w:w="2952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391,241 bytes（约0.37 MiB）</w:t>
            </w:r>
          </w:p>
        </w:tc>
        <w:tc>
          <w:tcPr>
            <w:tcW w:type="dxa" w:w="4968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只汇总日志里有 content_length 的响应，不能当作真实 egress 总量。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PostgREST 日志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363 条；其中259条出现超时管理器终止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可能有请求取消或数据库查询耗时问题；日志文本不足以直接归因到某个端点。</w:t>
            </w:r>
          </w:p>
        </w:tc>
      </w:tr>
      <w:tr>
        <w:tc>
          <w:tcPr>
            <w:tcW w:type="dxa" w:w="2232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Auth 日志 / Storage 日志</w:t>
            </w:r>
          </w:p>
        </w:tc>
        <w:tc>
          <w:tcPr>
            <w:tcW w:type="dxa" w:w="2952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533 条 / 27 条</w:t>
            </w:r>
          </w:p>
        </w:tc>
        <w:tc>
          <w:tcPr>
            <w:tcW w:type="dxa" w:w="4968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各服务日志会与边缘层重叠，不能相加作为唯一请求数。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账号数</w:t>
            </w:r>
          </w:p>
        </w:tc>
        <w:tc>
          <w:tcPr>
            <w:tcW w:type="dxa" w:w="29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auth.users 与 profiles 各 8 条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规模较小；部分访问来自服务端和后台程序。</w:t>
            </w:r>
          </w:p>
        </w:tc>
      </w:tr>
    </w:tbl>
    <w:p>
      <w:pPr>
        <w:spacing w:after="0"/>
      </w:pPr>
    </w:p>
    <w:p>
      <w:r>
        <w:t>仅凭 Supabase MCP 的日志接口无法读取项目账单页的完整带宽/egress 用量或套餐配额。因此，391 KB 是可见响应头长度的下界式观测，不代表实际下载流量；Storage 文件下载、日志中没有 content_length 的响应、边缘缓存和非 Supabase 资源均可能没有计入。</w:t>
      </w:r>
    </w:p>
    <w:p>
      <w:pPr>
        <w:pStyle w:val="Heading1"/>
      </w:pPr>
      <w:r>
        <w:t>3 请求集中位置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3240"/>
            <w:vAlign w:val="center"/>
            <w:shd w:fill="164A6F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1440"/>
            <w:vAlign w:val="center"/>
            <w:shd w:fill="164A6F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24小时请求数</w:t>
            </w:r>
          </w:p>
        </w:tc>
        <w:tc>
          <w:tcPr>
            <w:tcW w:type="dxa" w:w="1800"/>
            <w:vAlign w:val="center"/>
            <w:shd w:fill="164A6F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日志记录响应字节</w:t>
            </w:r>
          </w:p>
        </w:tc>
        <w:tc>
          <w:tcPr>
            <w:tcW w:type="dxa" w:w="3672"/>
            <w:vAlign w:val="center"/>
            <w:shd w:fill="164A6F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判断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/rest/v1/profiles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481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22,041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重复的身份/资料查询值得合并或按请求缓存。</w:t>
            </w:r>
          </w:p>
        </w:tc>
      </w:tr>
      <w:tr>
        <w:tc>
          <w:tcPr>
            <w:tcW w:type="dxa" w:w="3240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/rest/v1/review_items（GET 与 HEAD）</w:t>
            </w:r>
          </w:p>
        </w:tc>
        <w:tc>
          <w:tcPr>
            <w:tcW w:type="dxa" w:w="1440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229</w:t>
            </w:r>
          </w:p>
        </w:tc>
        <w:tc>
          <w:tcPr>
            <w:tcW w:type="dxa" w:w="1800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102</w:t>
            </w:r>
          </w:p>
        </w:tc>
        <w:tc>
          <w:tcPr>
            <w:tcW w:type="dxa" w:w="3672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HEAD 只拿计数，字节小；但请求频次高，可检查是否每次页面渲染都重复执行。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/rest/v1/app_features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203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响应长度未记录；功能开关通常适合短时缓存。</w:t>
            </w:r>
          </w:p>
        </w:tc>
      </w:tr>
      <w:tr>
        <w:tc>
          <w:tcPr>
            <w:tcW w:type="dxa" w:w="3240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/rest/v1/beta_enrollments</w:t>
            </w:r>
          </w:p>
        </w:tc>
        <w:tc>
          <w:tcPr>
            <w:tcW w:type="dxa" w:w="1440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168</w:t>
            </w:r>
          </w:p>
        </w:tc>
        <w:tc>
          <w:tcPr>
            <w:tcW w:type="dxa" w:w="1800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3,864</w:t>
            </w:r>
          </w:p>
        </w:tc>
        <w:tc>
          <w:tcPr>
            <w:tcW w:type="dxa" w:w="3672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检查是否在多个服务端布局/页面重复读取。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/rest/v1/rpc/notification_snapshot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148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6,800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通知快照若在后台或多标签页持续刷新，可减少轮询并复用结果。</w:t>
            </w:r>
          </w:p>
        </w:tc>
      </w:tr>
      <w:tr>
        <w:tc>
          <w:tcPr>
            <w:tcW w:type="dxa" w:w="3240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/storage/v1/object/sign/novel-files</w:t>
            </w:r>
          </w:p>
        </w:tc>
        <w:tc>
          <w:tcPr>
            <w:tcW w:type="dxa" w:w="1440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32</w:t>
            </w:r>
          </w:p>
        </w:tc>
        <w:tc>
          <w:tcPr>
            <w:tcW w:type="dxa" w:w="1800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304,352</w:t>
            </w:r>
          </w:p>
        </w:tc>
        <w:tc>
          <w:tcPr>
            <w:tcW w:type="dxa" w:w="3672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这是签名 URL 接口的日志长度；不等于签名 URL 实际访问的文件下载字节。</w:t>
            </w:r>
          </w:p>
        </w:tc>
      </w:tr>
    </w:tbl>
    <w:p>
      <w:pPr>
        <w:spacing w:after="0"/>
      </w:pPr>
    </w:p>
    <w:p>
      <w:r>
        <w:t>请求数本身约为每小时123条边缘请求，不能单独证明带宽异常。更可疑的是小型数据端点出现较多重复调用，以及与大量 PostgREST 超时同时出现。日志中边缘 4xx 主要是 6 条 /auth/v1/user 的 403，未观察到边缘 5xx；这不排除服务端取消或 PostgREST 内部超时。</w:t>
      </w:r>
    </w:p>
    <w:p>
      <w:pPr>
        <w:pStyle w:val="Heading1"/>
      </w:pPr>
      <w:r>
        <w:t>4 数据体积与异常线索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376"/>
            <w:vAlign w:val="center"/>
            <w:shd w:fill="164A6F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表</w:t>
            </w:r>
          </w:p>
        </w:tc>
        <w:tc>
          <w:tcPr>
            <w:tcW w:type="dxa" w:w="1080"/>
            <w:vAlign w:val="center"/>
            <w:shd w:fill="164A6F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精确行数</w:t>
            </w:r>
          </w:p>
        </w:tc>
        <w:tc>
          <w:tcPr>
            <w:tcW w:type="dxa" w:w="1656"/>
            <w:vAlign w:val="center"/>
            <w:shd w:fill="164A6F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关系表总大小</w:t>
            </w:r>
          </w:p>
        </w:tc>
        <w:tc>
          <w:tcPr>
            <w:tcW w:type="dxa" w:w="5040"/>
            <w:vAlign w:val="center"/>
            <w:shd w:fill="164A6F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观测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schedule_version_backups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304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约48 MiB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全部属于一个账户；时间集中于约34小时；revision 206–508。JSON 平均约159,756 bytes，最大约195,843 bytes。</w:t>
            </w:r>
          </w:p>
        </w:tc>
      </w:tr>
      <w:tr>
        <w:tc>
          <w:tcPr>
            <w:tcW w:type="dxa" w:w="2376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novel_catalog_chapters</w:t>
            </w:r>
          </w:p>
        </w:tc>
        <w:tc>
          <w:tcPr>
            <w:tcW w:type="dxa" w:w="1080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1,129</w:t>
            </w:r>
          </w:p>
        </w:tc>
        <w:tc>
          <w:tcPr>
            <w:tcW w:type="dxa" w:w="1656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约14 MiB</w:t>
            </w:r>
          </w:p>
        </w:tc>
        <w:tc>
          <w:tcPr>
            <w:tcW w:type="dxa" w:w="5040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分布在4个小说目录；平均章节内容约11 KB，最大约242 KB，可能是预期内容数据。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backup_center_versions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167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约12 MiB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覆盖8个账户；快照平均约56 KB，最大约1.06 MB，符合备份会占用空间的特征。</w:t>
            </w:r>
          </w:p>
        </w:tc>
      </w:tr>
      <w:tr>
        <w:tc>
          <w:tcPr>
            <w:tcW w:type="dxa" w:w="2376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sync_operations</w:t>
            </w:r>
          </w:p>
        </w:tc>
        <w:tc>
          <w:tcPr>
            <w:tcW w:type="dxa" w:w="1080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4,463</w:t>
            </w:r>
          </w:p>
        </w:tc>
        <w:tc>
          <w:tcPr>
            <w:tcW w:type="dxa" w:w="1656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约4.1 MiB</w:t>
            </w:r>
          </w:p>
        </w:tc>
        <w:tc>
          <w:tcPr>
            <w:tcW w:type="dxa" w:w="5040"/>
            <w:vAlign w:val="center"/>
            <w:shd w:fill="EEF4F8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体量目前有限；建议结合保留策略和超时一起检查，不宜只按行数判断异常。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practice_timer_live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65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约264 KiB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单行实时状态表；统计信息显示累计顺序扫描较多，但统计计数未按本次24小时窗口重置，不能据此断定近期流量。</w:t>
            </w:r>
          </w:p>
        </w:tc>
      </w:tr>
    </w:tbl>
    <w:p>
      <w:pPr>
        <w:spacing w:after="0"/>
      </w:pPr>
    </w:p>
    <w:p>
      <w:r>
        <w:t>schedule_version_backups 的迁移触发器会在 Schedule 内容发生变化时先保存旧快照，并在写入时清理90天以前的记录。304个快照形成连续 revision，说明它们不是随机垃圾数据；但约一天内产生如此多、每条约160 KB的完整快照，可能来自频繁自动保存、重复同步或真实的大量编辑。旧记录仍在90天保留期内，且清理只会在后续写入时触发，所以暂时不建议直接删除。</w:t>
      </w:r>
    </w:p>
    <w:p>
      <w:r>
        <w:t>未发现显然的孤儿账户计数：auth.users 和 profiles 精确行数同为8。仅抽查了少数表和摘要，不能据此断言全库完全没有重复、无效或业务上不期望的数据。</w:t>
      </w:r>
    </w:p>
    <w:p>
      <w:pPr>
        <w:pStyle w:val="Heading1"/>
      </w:pPr>
      <w:r>
        <w:t>5 建议的排查顺序</w:t>
      </w:r>
    </w:p>
    <w:p>
      <w:pPr>
        <w:pStyle w:val="ListNumber"/>
        <w:spacing w:after="80"/>
      </w:pPr>
      <w:r>
        <w:t>先处理超时定位：在 Supabase 日志中按 PostgREST 超时发生时间关联 edge request_id、路径和数据库错误，找出具体 RPC、表或 RLS 查询。当前259条超时记录没有足够信息直接定位源头，不要先盲目增加索引。</w:t>
      </w:r>
    </w:p>
    <w:p>
      <w:pPr>
        <w:pStyle w:val="ListNumber"/>
        <w:spacing w:after="80"/>
      </w:pPr>
      <w:r>
        <w:t>核查 Schedule 自动保存：对照产生 revision 206–508 的客户端/服务端写入机制，判断是否有页面定时器、多个标签页或无变化内容仍不断写入。只有确认冗余写入后，再调整去重、保存间隔或快照策略；保留现有可恢复数据。</w:t>
      </w:r>
    </w:p>
    <w:p>
      <w:pPr>
        <w:pStyle w:val="ListNumber"/>
        <w:spacing w:after="80"/>
      </w:pPr>
      <w:r>
        <w:t>压低重复读取：优先检查 profiles、app_features、beta_enrollments 和 notification_snapshot 是否被多个布局或请求重复调用；在安全范围内使用请求级缓存或短时缓存，并让通知只在需要时刷新。</w:t>
      </w:r>
    </w:p>
    <w:p>
      <w:pPr>
        <w:pStyle w:val="ListNumber"/>
        <w:spacing w:after="80"/>
      </w:pPr>
      <w:r>
        <w:t>从 Supabase Dashboard 记录 Database 与 Storage 的实际 egress 使用量及套餐配额，按日比较至少一周；同时将应用静态资源、小说文件下载与数据库 API 分开统计。日志响应长度无法替代 Dashboard 的计费指标。</w:t>
      </w:r>
    </w:p>
    <w:p>
      <w:pPr>
        <w:pStyle w:val="ListNumber"/>
        <w:spacing w:after="80"/>
      </w:pPr>
      <w:r>
        <w:t>完成优化后再复查同一窗口的请求数、PostgREST 超时数和真实 egress；在确认业务效果前，不清理备份或历史同步记录。</w:t>
      </w:r>
    </w:p>
    <w:p>
      <w:pPr>
        <w:pStyle w:val="Heading1"/>
      </w:pPr>
      <w:r>
        <w:t>6 本次处理结果</w:t>
      </w:r>
    </w:p>
    <w:p>
      <w:r>
        <w:t>本次仅做只读检查并形成报告。没有更改 Supabase 数据、架构或应用代码。建议下一步先定位259条 PostgREST 超时的具体请求来源，再决定是否需要调整自动保存和页面缓存。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07E8A"/>
        <w:sz w:val="16"/>
      </w:rPr>
      <w:t xml:space="preserve">JACKYUN  |  数据库与流量排查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color w:val="2A354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4A6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4A6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637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