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JACKYUN 数据库与流量排查报告</w:t>
      </w:r>
    </w:p>
    <w:p>
      <w:pPr>
        <w:spacing w:after="200"/>
      </w:pPr>
      <w:r>
        <w:rPr>
          <w:color w:val="5F7080"/>
          <w:sz w:val="18"/>
        </w:rPr>
        <w:t>只读诊断记录  |  2026年10月20日  |  Supabase 项目 gdcwwlnzylrzrqhaaljq</w:t>
      </w:r>
    </w:p>
    <w:tbl>
      <w:tblPr>
        <w:tblW w:type="auto" w:w="0"/>
        <w:jc w:val="center"/>
        <w:tblLook w:firstColumn="1" w:firstRow="1" w:lastColumn="0" w:lastRow="0" w:noHBand="0" w:noVBand="1" w:val="04A0"/>
      </w:tblPr>
      <w:tblGrid>
        <w:gridCol w:w="10166"/>
      </w:tblGrid>
      <w:tr>
        <w:tc>
          <w:tcPr>
            <w:tcW w:type="dxa" w:w="10166"/>
            <w:shd w:fill="E8F1F7"/>
            <w:vAlign w:val="center"/>
          </w:tcPr>
          <w:p>
            <w:pPr>
              <w:spacing w:after="20"/>
            </w:pPr>
            <w:r/>
            <w:r>
              <w:rPr>
                <w:rFonts w:ascii="Microsoft YaHei" w:hAnsi="Microsoft YaHei" w:eastAsia="Microsoft YaHei"/>
                <w:b/>
                <w:color w:val="163756"/>
                <w:sz w:val="20"/>
              </w:rPr>
              <w:t>结论：目前不像是单纯“带宽爆了”，更值得优先处理的是 PostgREST 超时和重复读取。过去24小时边缘日志记录约2,954个请求，日志中可见响应长度合计约0.37 MiB，但这不是完整出站流量。另有259条 PostgREST 超时管理器终止记录。数据体积方面，schedule_version_backups 存有304个约160 KB的快照，集中在一个账户、约34小时内产生；先核查自动写入频率，暂不删除备份。</w:t>
            </w:r>
          </w:p>
        </w:tc>
      </w:tr>
    </w:tbl>
    <w:p/>
    <w:p>
      <w:pPr>
        <w:pStyle w:val="Heading1"/>
      </w:pPr>
      <w:r>
        <w:t>1 检查范围与版本</w:t>
      </w:r>
    </w:p>
    <w:p>
      <w:r>
        <w:t>本次检查使用 Supabase 只读项目查询、最近24小时日志汇总，以及 Main 中的迁移和应用代码。没有写入或删除数据库数据，也没有部署数据库变更。检查时主仓库 package.json 为 3.28.2，与本机 Main 所指提交中的版本一致；工作区已有其他未提交改动，本报告只作为独立新增文件。</w:t>
      </w:r>
    </w:p>
    <w:p>
      <w:r>
        <w:t>时间窗：日志工具默认的最近24小时，样例时间约为 2026-10-19 13:32 UTC 至 2026-10-20 13:32 UTC。项目状态为 ACTIVE_HEALTHY，PostgreSQL 17.6.1.084。数据库关系表统计可能受 PostgreSQL 统计信息更新时间影响；本报告对关键表另外执行了精确 COUNT。</w:t>
      </w:r>
    </w:p>
    <w:p>
      <w:pPr>
        <w:pStyle w:val="Heading1"/>
      </w:pPr>
      <w:r>
        <w:t>2 目前可观测的流量</w:t>
      </w:r>
    </w:p>
    <w:tbl>
      <w:tblPr>
        <w:tblStyle w:val="TableGrid"/>
        <w:tblW w:type="auto" w:w="0"/>
        <w:jc w:val="center"/>
        <w:tblLook w:firstColumn="1" w:firstRow="1" w:lastColumn="0" w:lastRow="0" w:noHBand="0" w:noVBand="1" w:val="04A0"/>
      </w:tblPr>
      <w:tblGrid>
        <w:gridCol w:w="3389"/>
        <w:gridCol w:w="3389"/>
        <w:gridCol w:w="3389"/>
      </w:tblGrid>
      <w:tr>
        <w:tc>
          <w:tcPr>
            <w:tcW w:type="dxa" w:w="2232"/>
            <w:vAlign w:val="center"/>
            <w:shd w:fill="164A6F"/>
          </w:tcPr>
          <w:p>
            <w:pPr>
              <w:spacing w:after="20"/>
            </w:pPr>
            <w:r/>
            <w:r>
              <w:rPr>
                <w:rFonts w:ascii="Microsoft YaHei" w:hAnsi="Microsoft YaHei" w:eastAsia="Microsoft YaHei"/>
                <w:b/>
                <w:color w:val="FFFFFF"/>
                <w:sz w:val="17"/>
              </w:rPr>
              <w:t>指标</w:t>
            </w:r>
          </w:p>
        </w:tc>
        <w:tc>
          <w:tcPr>
            <w:tcW w:type="dxa" w:w="2952"/>
            <w:vAlign w:val="center"/>
            <w:shd w:fill="164A6F"/>
          </w:tcPr>
          <w:p>
            <w:pPr>
              <w:spacing w:after="20"/>
            </w:pPr>
            <w:r/>
            <w:r>
              <w:rPr>
                <w:rFonts w:ascii="Microsoft YaHei" w:hAnsi="Microsoft YaHei" w:eastAsia="Microsoft YaHei"/>
                <w:b/>
                <w:color w:val="FFFFFF"/>
                <w:sz w:val="17"/>
              </w:rPr>
              <w:t>观察值</w:t>
            </w:r>
          </w:p>
        </w:tc>
        <w:tc>
          <w:tcPr>
            <w:tcW w:type="dxa" w:w="4968"/>
            <w:vAlign w:val="center"/>
            <w:shd w:fill="164A6F"/>
          </w:tcPr>
          <w:p>
            <w:pPr>
              <w:spacing w:after="20"/>
            </w:pPr>
            <w:r/>
            <w:r>
              <w:rPr>
                <w:rFonts w:ascii="Microsoft YaHei" w:hAnsi="Microsoft YaHei" w:eastAsia="Microsoft YaHei"/>
                <w:b/>
                <w:color w:val="FFFFFF"/>
                <w:sz w:val="17"/>
              </w:rPr>
              <w:t>如何理解</w:t>
            </w:r>
          </w:p>
        </w:tc>
      </w:tr>
      <w:tr>
        <w:tc>
          <w:tcPr>
            <w:tcW w:type="dxa" w:w="2232"/>
            <w:vAlign w:val="center"/>
          </w:tcPr>
          <w:p>
            <w:pPr>
              <w:spacing w:after="20"/>
            </w:pPr>
            <w:r/>
            <w:r>
              <w:rPr>
                <w:rFonts w:ascii="Microsoft YaHei" w:hAnsi="Microsoft YaHei" w:eastAsia="Microsoft YaHei"/>
                <w:b w:val="0"/>
                <w:sz w:val="16"/>
              </w:rPr>
              <w:t>边缘请求日志</w:t>
            </w:r>
          </w:p>
        </w:tc>
        <w:tc>
          <w:tcPr>
            <w:tcW w:type="dxa" w:w="2952"/>
            <w:vAlign w:val="center"/>
          </w:tcPr>
          <w:p>
            <w:pPr>
              <w:spacing w:after="20"/>
            </w:pPr>
            <w:r/>
            <w:r>
              <w:rPr>
                <w:rFonts w:ascii="Microsoft YaHei" w:hAnsi="Microsoft YaHei" w:eastAsia="Microsoft YaHei"/>
                <w:b w:val="0"/>
                <w:sz w:val="16"/>
              </w:rPr>
              <w:t>2,954 条 / 24小时</w:t>
            </w:r>
          </w:p>
        </w:tc>
        <w:tc>
          <w:tcPr>
            <w:tcW w:type="dxa" w:w="4968"/>
            <w:vAlign w:val="center"/>
          </w:tcPr>
          <w:p>
            <w:pPr>
              <w:spacing w:after="20"/>
            </w:pPr>
            <w:r/>
            <w:r>
              <w:rPr>
                <w:rFonts w:ascii="Microsoft YaHei" w:hAnsi="Microsoft YaHei" w:eastAsia="Microsoft YaHei"/>
                <w:b w:val="0"/>
                <w:sz w:val="16"/>
              </w:rPr>
              <w:t>这是边缘日志事件数，适合作请求量级参考。</w:t>
            </w:r>
          </w:p>
        </w:tc>
      </w:tr>
      <w:tr>
        <w:tc>
          <w:tcPr>
            <w:tcW w:type="dxa" w:w="2232"/>
            <w:vAlign w:val="center"/>
            <w:shd w:fill="EEF4F8"/>
          </w:tcPr>
          <w:p>
            <w:pPr>
              <w:spacing w:after="20"/>
            </w:pPr>
            <w:r/>
            <w:r>
              <w:rPr>
                <w:rFonts w:ascii="Microsoft YaHei" w:hAnsi="Microsoft YaHei" w:eastAsia="Microsoft YaHei"/>
                <w:b w:val="0"/>
                <w:sz w:val="16"/>
              </w:rPr>
              <w:t>日志可见响应长度</w:t>
            </w:r>
          </w:p>
        </w:tc>
        <w:tc>
          <w:tcPr>
            <w:tcW w:type="dxa" w:w="2952"/>
            <w:vAlign w:val="center"/>
            <w:shd w:fill="EEF4F8"/>
          </w:tcPr>
          <w:p>
            <w:pPr>
              <w:spacing w:after="20"/>
            </w:pPr>
            <w:r/>
            <w:r>
              <w:rPr>
                <w:rFonts w:ascii="Microsoft YaHei" w:hAnsi="Microsoft YaHei" w:eastAsia="Microsoft YaHei"/>
                <w:b w:val="0"/>
                <w:sz w:val="16"/>
              </w:rPr>
              <w:t>391,241 bytes（约0.37 MiB）</w:t>
            </w:r>
          </w:p>
        </w:tc>
        <w:tc>
          <w:tcPr>
            <w:tcW w:type="dxa" w:w="4968"/>
            <w:vAlign w:val="center"/>
            <w:shd w:fill="EEF4F8"/>
          </w:tcPr>
          <w:p>
            <w:pPr>
              <w:spacing w:after="20"/>
            </w:pPr>
            <w:r/>
            <w:r>
              <w:rPr>
                <w:rFonts w:ascii="Microsoft YaHei" w:hAnsi="Microsoft YaHei" w:eastAsia="Microsoft YaHei"/>
                <w:b w:val="0"/>
                <w:sz w:val="16"/>
              </w:rPr>
              <w:t>只汇总日志里有 content_length 的响应，不能当作真实 egress 总量。</w:t>
            </w:r>
          </w:p>
        </w:tc>
      </w:tr>
      <w:tr>
        <w:tc>
          <w:tcPr>
            <w:tcW w:type="dxa" w:w="2232"/>
            <w:vAlign w:val="center"/>
          </w:tcPr>
          <w:p>
            <w:pPr>
              <w:spacing w:after="20"/>
            </w:pPr>
            <w:r/>
            <w:r>
              <w:rPr>
                <w:rFonts w:ascii="Microsoft YaHei" w:hAnsi="Microsoft YaHei" w:eastAsia="Microsoft YaHei"/>
                <w:b w:val="0"/>
                <w:sz w:val="16"/>
              </w:rPr>
              <w:t>PostgREST 日志</w:t>
            </w:r>
          </w:p>
        </w:tc>
        <w:tc>
          <w:tcPr>
            <w:tcW w:type="dxa" w:w="2952"/>
            <w:vAlign w:val="center"/>
          </w:tcPr>
          <w:p>
            <w:pPr>
              <w:spacing w:after="20"/>
            </w:pPr>
            <w:r/>
            <w:r>
              <w:rPr>
                <w:rFonts w:ascii="Microsoft YaHei" w:hAnsi="Microsoft YaHei" w:eastAsia="Microsoft YaHei"/>
                <w:b w:val="0"/>
                <w:sz w:val="16"/>
              </w:rPr>
              <w:t>363 条；其中259条出现超时管理器终止</w:t>
            </w:r>
          </w:p>
        </w:tc>
        <w:tc>
          <w:tcPr>
            <w:tcW w:type="dxa" w:w="4968"/>
            <w:vAlign w:val="center"/>
          </w:tcPr>
          <w:p>
            <w:pPr>
              <w:spacing w:after="20"/>
            </w:pPr>
            <w:r/>
            <w:r>
              <w:rPr>
                <w:rFonts w:ascii="Microsoft YaHei" w:hAnsi="Microsoft YaHei" w:eastAsia="Microsoft YaHei"/>
                <w:b w:val="0"/>
                <w:sz w:val="16"/>
              </w:rPr>
              <w:t>可能有请求取消或数据库查询耗时问题；日志文本不足以直接归因到某个端点。</w:t>
            </w:r>
          </w:p>
        </w:tc>
      </w:tr>
      <w:tr>
        <w:tc>
          <w:tcPr>
            <w:tcW w:type="dxa" w:w="2232"/>
            <w:vAlign w:val="center"/>
            <w:shd w:fill="EEF4F8"/>
          </w:tcPr>
          <w:p>
            <w:pPr>
              <w:spacing w:after="20"/>
            </w:pPr>
            <w:r/>
            <w:r>
              <w:rPr>
                <w:rFonts w:ascii="Microsoft YaHei" w:hAnsi="Microsoft YaHei" w:eastAsia="Microsoft YaHei"/>
                <w:b w:val="0"/>
                <w:sz w:val="16"/>
              </w:rPr>
              <w:t>Auth 日志 / Storage 日志</w:t>
            </w:r>
          </w:p>
        </w:tc>
        <w:tc>
          <w:tcPr>
            <w:tcW w:type="dxa" w:w="2952"/>
            <w:vAlign w:val="center"/>
            <w:shd w:fill="EEF4F8"/>
          </w:tcPr>
          <w:p>
            <w:pPr>
              <w:spacing w:after="20"/>
            </w:pPr>
            <w:r/>
            <w:r>
              <w:rPr>
                <w:rFonts w:ascii="Microsoft YaHei" w:hAnsi="Microsoft YaHei" w:eastAsia="Microsoft YaHei"/>
                <w:b w:val="0"/>
                <w:sz w:val="16"/>
              </w:rPr>
              <w:t>533 条 / 27 条</w:t>
            </w:r>
          </w:p>
        </w:tc>
        <w:tc>
          <w:tcPr>
            <w:tcW w:type="dxa" w:w="4968"/>
            <w:vAlign w:val="center"/>
            <w:shd w:fill="EEF4F8"/>
          </w:tcPr>
          <w:p>
            <w:pPr>
              <w:spacing w:after="20"/>
            </w:pPr>
            <w:r/>
            <w:r>
              <w:rPr>
                <w:rFonts w:ascii="Microsoft YaHei" w:hAnsi="Microsoft YaHei" w:eastAsia="Microsoft YaHei"/>
                <w:b w:val="0"/>
                <w:sz w:val="16"/>
              </w:rPr>
              <w:t>各服务日志会与边缘层重叠，不能相加作为唯一请求数。</w:t>
            </w:r>
          </w:p>
        </w:tc>
      </w:tr>
      <w:tr>
        <w:tc>
          <w:tcPr>
            <w:tcW w:type="dxa" w:w="2232"/>
            <w:vAlign w:val="center"/>
          </w:tcPr>
          <w:p>
            <w:pPr>
              <w:spacing w:after="20"/>
            </w:pPr>
            <w:r/>
            <w:r>
              <w:rPr>
                <w:rFonts w:ascii="Microsoft YaHei" w:hAnsi="Microsoft YaHei" w:eastAsia="Microsoft YaHei"/>
                <w:b w:val="0"/>
                <w:sz w:val="16"/>
              </w:rPr>
              <w:t>账号数</w:t>
            </w:r>
          </w:p>
        </w:tc>
        <w:tc>
          <w:tcPr>
            <w:tcW w:type="dxa" w:w="2952"/>
            <w:vAlign w:val="center"/>
          </w:tcPr>
          <w:p>
            <w:pPr>
              <w:spacing w:after="20"/>
            </w:pPr>
            <w:r/>
            <w:r>
              <w:rPr>
                <w:rFonts w:ascii="Microsoft YaHei" w:hAnsi="Microsoft YaHei" w:eastAsia="Microsoft YaHei"/>
                <w:b w:val="0"/>
                <w:sz w:val="16"/>
              </w:rPr>
              <w:t>auth.users 与 profiles 各 8 条</w:t>
            </w:r>
          </w:p>
        </w:tc>
        <w:tc>
          <w:tcPr>
            <w:tcW w:type="dxa" w:w="4968"/>
            <w:vAlign w:val="center"/>
          </w:tcPr>
          <w:p>
            <w:pPr>
              <w:spacing w:after="20"/>
            </w:pPr>
            <w:r/>
            <w:r>
              <w:rPr>
                <w:rFonts w:ascii="Microsoft YaHei" w:hAnsi="Microsoft YaHei" w:eastAsia="Microsoft YaHei"/>
                <w:b w:val="0"/>
                <w:sz w:val="16"/>
              </w:rPr>
              <w:t>规模较小；部分访问来自服务端和后台程序。</w:t>
            </w:r>
          </w:p>
        </w:tc>
      </w:tr>
    </w:tbl>
    <w:p>
      <w:pPr>
        <w:spacing w:after="0"/>
      </w:pPr>
    </w:p>
    <w:p>
      <w:r>
        <w:t>仅凭 Supabase MCP 的日志接口无法读取项目账单页的完整带宽/egress 用量或套餐配额。因此，391 KB 是可见响应头长度的下界式观测，不代表实际下载流量；Storage 文件下载、日志中没有 content_length 的响应、边缘缓存和非 Supabase 资源均可能没有计入。</w:t>
      </w:r>
    </w:p>
    <w:p>
      <w:pPr>
        <w:pStyle w:val="Heading1"/>
      </w:pPr>
      <w:r>
        <w:t>3 请求集中位置</w:t>
      </w:r>
    </w:p>
    <w:tbl>
      <w:tblPr>
        <w:tblStyle w:val="TableGrid"/>
        <w:tblW w:type="auto" w:w="0"/>
        <w:jc w:val="center"/>
        <w:tblLook w:firstColumn="1" w:firstRow="1" w:lastColumn="0" w:lastRow="0" w:noHBand="0" w:noVBand="1" w:val="04A0"/>
      </w:tblPr>
      <w:tblGrid>
        <w:gridCol w:w="2541"/>
        <w:gridCol w:w="2541"/>
        <w:gridCol w:w="2541"/>
        <w:gridCol w:w="2541"/>
      </w:tblGrid>
      <w:tr>
        <w:tc>
          <w:tcPr>
            <w:tcW w:type="dxa" w:w="3240"/>
            <w:vAlign w:val="center"/>
            <w:shd w:fill="164A6F"/>
          </w:tcPr>
          <w:p>
            <w:pPr>
              <w:spacing w:after="20"/>
            </w:pPr>
            <w:r/>
            <w:r>
              <w:rPr>
                <w:rFonts w:ascii="Microsoft YaHei" w:hAnsi="Microsoft YaHei" w:eastAsia="Microsoft YaHei"/>
                <w:b/>
                <w:color w:val="FFFFFF"/>
                <w:sz w:val="17"/>
              </w:rPr>
              <w:t>接口</w:t>
            </w:r>
          </w:p>
        </w:tc>
        <w:tc>
          <w:tcPr>
            <w:tcW w:type="dxa" w:w="1440"/>
            <w:vAlign w:val="center"/>
            <w:shd w:fill="164A6F"/>
          </w:tcPr>
          <w:p>
            <w:pPr>
              <w:spacing w:after="20"/>
            </w:pPr>
            <w:r/>
            <w:r>
              <w:rPr>
                <w:rFonts w:ascii="Microsoft YaHei" w:hAnsi="Microsoft YaHei" w:eastAsia="Microsoft YaHei"/>
                <w:b/>
                <w:color w:val="FFFFFF"/>
                <w:sz w:val="17"/>
              </w:rPr>
              <w:t>24小时请求数</w:t>
            </w:r>
          </w:p>
        </w:tc>
        <w:tc>
          <w:tcPr>
            <w:tcW w:type="dxa" w:w="1800"/>
            <w:vAlign w:val="center"/>
            <w:shd w:fill="164A6F"/>
          </w:tcPr>
          <w:p>
            <w:pPr>
              <w:spacing w:after="20"/>
            </w:pPr>
            <w:r/>
            <w:r>
              <w:rPr>
                <w:rFonts w:ascii="Microsoft YaHei" w:hAnsi="Microsoft YaHei" w:eastAsia="Microsoft YaHei"/>
                <w:b/>
                <w:color w:val="FFFFFF"/>
                <w:sz w:val="17"/>
              </w:rPr>
              <w:t>日志记录响应字节</w:t>
            </w:r>
          </w:p>
        </w:tc>
        <w:tc>
          <w:tcPr>
            <w:tcW w:type="dxa" w:w="3672"/>
            <w:vAlign w:val="center"/>
            <w:shd w:fill="164A6F"/>
          </w:tcPr>
          <w:p>
            <w:pPr>
              <w:spacing w:after="20"/>
            </w:pPr>
            <w:r/>
            <w:r>
              <w:rPr>
                <w:rFonts w:ascii="Microsoft YaHei" w:hAnsi="Microsoft YaHei" w:eastAsia="Microsoft YaHei"/>
                <w:b/>
                <w:color w:val="FFFFFF"/>
                <w:sz w:val="17"/>
              </w:rPr>
              <w:t>判断</w:t>
            </w:r>
          </w:p>
        </w:tc>
      </w:tr>
      <w:tr>
        <w:tc>
          <w:tcPr>
            <w:tcW w:type="dxa" w:w="3240"/>
            <w:vAlign w:val="center"/>
          </w:tcPr>
          <w:p>
            <w:pPr>
              <w:spacing w:after="20"/>
            </w:pPr>
            <w:r/>
            <w:r>
              <w:rPr>
                <w:rFonts w:ascii="Microsoft YaHei" w:hAnsi="Microsoft YaHei" w:eastAsia="Microsoft YaHei"/>
                <w:b w:val="0"/>
                <w:sz w:val="16"/>
              </w:rPr>
              <w:t>/rest/v1/profiles</w:t>
            </w:r>
          </w:p>
        </w:tc>
        <w:tc>
          <w:tcPr>
            <w:tcW w:type="dxa" w:w="1440"/>
            <w:vAlign w:val="center"/>
          </w:tcPr>
          <w:p>
            <w:pPr>
              <w:spacing w:after="20"/>
            </w:pPr>
            <w:r/>
            <w:r>
              <w:rPr>
                <w:rFonts w:ascii="Microsoft YaHei" w:hAnsi="Microsoft YaHei" w:eastAsia="Microsoft YaHei"/>
                <w:b w:val="0"/>
                <w:sz w:val="16"/>
              </w:rPr>
              <w:t>481</w:t>
            </w:r>
          </w:p>
        </w:tc>
        <w:tc>
          <w:tcPr>
            <w:tcW w:type="dxa" w:w="1800"/>
            <w:vAlign w:val="center"/>
          </w:tcPr>
          <w:p>
            <w:pPr>
              <w:spacing w:after="20"/>
            </w:pPr>
            <w:r/>
            <w:r>
              <w:rPr>
                <w:rFonts w:ascii="Microsoft YaHei" w:hAnsi="Microsoft YaHei" w:eastAsia="Microsoft YaHei"/>
                <w:b w:val="0"/>
                <w:sz w:val="16"/>
              </w:rPr>
              <w:t>22,041</w:t>
            </w:r>
          </w:p>
        </w:tc>
        <w:tc>
          <w:tcPr>
            <w:tcW w:type="dxa" w:w="3672"/>
            <w:vAlign w:val="center"/>
          </w:tcPr>
          <w:p>
            <w:pPr>
              <w:spacing w:after="20"/>
            </w:pPr>
            <w:r/>
            <w:r>
              <w:rPr>
                <w:rFonts w:ascii="Microsoft YaHei" w:hAnsi="Microsoft YaHei" w:eastAsia="Microsoft YaHei"/>
                <w:b w:val="0"/>
                <w:sz w:val="16"/>
              </w:rPr>
              <w:t>重复的身份/资料查询值得合并或按请求缓存。</w:t>
            </w:r>
          </w:p>
        </w:tc>
      </w:tr>
      <w:tr>
        <w:tc>
          <w:tcPr>
            <w:tcW w:type="dxa" w:w="3240"/>
            <w:vAlign w:val="center"/>
            <w:shd w:fill="EEF4F8"/>
          </w:tcPr>
          <w:p>
            <w:pPr>
              <w:spacing w:after="20"/>
            </w:pPr>
            <w:r/>
            <w:r>
              <w:rPr>
                <w:rFonts w:ascii="Microsoft YaHei" w:hAnsi="Microsoft YaHei" w:eastAsia="Microsoft YaHei"/>
                <w:b w:val="0"/>
                <w:sz w:val="16"/>
              </w:rPr>
              <w:t>/rest/v1/review_items（GET 与 HEAD）</w:t>
            </w:r>
          </w:p>
        </w:tc>
        <w:tc>
          <w:tcPr>
            <w:tcW w:type="dxa" w:w="1440"/>
            <w:vAlign w:val="center"/>
            <w:shd w:fill="EEF4F8"/>
          </w:tcPr>
          <w:p>
            <w:pPr>
              <w:spacing w:after="20"/>
            </w:pPr>
            <w:r/>
            <w:r>
              <w:rPr>
                <w:rFonts w:ascii="Microsoft YaHei" w:hAnsi="Microsoft YaHei" w:eastAsia="Microsoft YaHei"/>
                <w:b w:val="0"/>
                <w:sz w:val="16"/>
              </w:rPr>
              <w:t>229</w:t>
            </w:r>
          </w:p>
        </w:tc>
        <w:tc>
          <w:tcPr>
            <w:tcW w:type="dxa" w:w="1800"/>
            <w:vAlign w:val="center"/>
            <w:shd w:fill="EEF4F8"/>
          </w:tcPr>
          <w:p>
            <w:pPr>
              <w:spacing w:after="20"/>
            </w:pPr>
            <w:r/>
            <w:r>
              <w:rPr>
                <w:rFonts w:ascii="Microsoft YaHei" w:hAnsi="Microsoft YaHei" w:eastAsia="Microsoft YaHei"/>
                <w:b w:val="0"/>
                <w:sz w:val="16"/>
              </w:rPr>
              <w:t>102</w:t>
            </w:r>
          </w:p>
        </w:tc>
        <w:tc>
          <w:tcPr>
            <w:tcW w:type="dxa" w:w="3672"/>
            <w:vAlign w:val="center"/>
            <w:shd w:fill="EEF4F8"/>
          </w:tcPr>
          <w:p>
            <w:pPr>
              <w:spacing w:after="20"/>
            </w:pPr>
            <w:r/>
            <w:r>
              <w:rPr>
                <w:rFonts w:ascii="Microsoft YaHei" w:hAnsi="Microsoft YaHei" w:eastAsia="Microsoft YaHei"/>
                <w:b w:val="0"/>
                <w:sz w:val="16"/>
              </w:rPr>
              <w:t>HEAD 只拿计数，字节小；但请求频次高，可检查是否每次页面渲染都重复执行。</w:t>
            </w:r>
          </w:p>
        </w:tc>
      </w:tr>
      <w:tr>
        <w:tc>
          <w:tcPr>
            <w:tcW w:type="dxa" w:w="3240"/>
            <w:vAlign w:val="center"/>
          </w:tcPr>
          <w:p>
            <w:pPr>
              <w:spacing w:after="20"/>
            </w:pPr>
            <w:r/>
            <w:r>
              <w:rPr>
                <w:rFonts w:ascii="Microsoft YaHei" w:hAnsi="Microsoft YaHei" w:eastAsia="Microsoft YaHei"/>
                <w:b w:val="0"/>
                <w:sz w:val="16"/>
              </w:rPr>
              <w:t>/rest/v1/app_features</w:t>
            </w:r>
          </w:p>
        </w:tc>
        <w:tc>
          <w:tcPr>
            <w:tcW w:type="dxa" w:w="1440"/>
            <w:vAlign w:val="center"/>
          </w:tcPr>
          <w:p>
            <w:pPr>
              <w:spacing w:after="20"/>
            </w:pPr>
            <w:r/>
            <w:r>
              <w:rPr>
                <w:rFonts w:ascii="Microsoft YaHei" w:hAnsi="Microsoft YaHei" w:eastAsia="Microsoft YaHei"/>
                <w:b w:val="0"/>
                <w:sz w:val="16"/>
              </w:rPr>
              <w:t>203</w:t>
            </w:r>
          </w:p>
        </w:tc>
        <w:tc>
          <w:tcPr>
            <w:tcW w:type="dxa" w:w="1800"/>
            <w:vAlign w:val="center"/>
          </w:tcPr>
          <w:p>
            <w:pPr>
              <w:spacing w:after="20"/>
            </w:pPr>
            <w:r/>
            <w:r>
              <w:rPr>
                <w:rFonts w:ascii="Microsoft YaHei" w:hAnsi="Microsoft YaHei" w:eastAsia="Microsoft YaHei"/>
                <w:b w:val="0"/>
                <w:sz w:val="16"/>
              </w:rPr>
              <w:t>0</w:t>
            </w:r>
          </w:p>
        </w:tc>
        <w:tc>
          <w:tcPr>
            <w:tcW w:type="dxa" w:w="3672"/>
            <w:vAlign w:val="center"/>
          </w:tcPr>
          <w:p>
            <w:pPr>
              <w:spacing w:after="20"/>
            </w:pPr>
            <w:r/>
            <w:r>
              <w:rPr>
                <w:rFonts w:ascii="Microsoft YaHei" w:hAnsi="Microsoft YaHei" w:eastAsia="Microsoft YaHei"/>
                <w:b w:val="0"/>
                <w:sz w:val="16"/>
              </w:rPr>
              <w:t>响应长度未记录；功能开关通常适合短时缓存。</w:t>
            </w:r>
          </w:p>
        </w:tc>
      </w:tr>
      <w:tr>
        <w:tc>
          <w:tcPr>
            <w:tcW w:type="dxa" w:w="3240"/>
            <w:vAlign w:val="center"/>
            <w:shd w:fill="EEF4F8"/>
          </w:tcPr>
          <w:p>
            <w:pPr>
              <w:spacing w:after="20"/>
            </w:pPr>
            <w:r/>
            <w:r>
              <w:rPr>
                <w:rFonts w:ascii="Microsoft YaHei" w:hAnsi="Microsoft YaHei" w:eastAsia="Microsoft YaHei"/>
                <w:b w:val="0"/>
                <w:sz w:val="16"/>
              </w:rPr>
              <w:t>/rest/v1/beta_enrollments</w:t>
            </w:r>
          </w:p>
        </w:tc>
        <w:tc>
          <w:tcPr>
            <w:tcW w:type="dxa" w:w="1440"/>
            <w:vAlign w:val="center"/>
            <w:shd w:fill="EEF4F8"/>
          </w:tcPr>
          <w:p>
            <w:pPr>
              <w:spacing w:after="20"/>
            </w:pPr>
            <w:r/>
            <w:r>
              <w:rPr>
                <w:rFonts w:ascii="Microsoft YaHei" w:hAnsi="Microsoft YaHei" w:eastAsia="Microsoft YaHei"/>
                <w:b w:val="0"/>
                <w:sz w:val="16"/>
              </w:rPr>
              <w:t>168</w:t>
            </w:r>
          </w:p>
        </w:tc>
        <w:tc>
          <w:tcPr>
            <w:tcW w:type="dxa" w:w="1800"/>
            <w:vAlign w:val="center"/>
            <w:shd w:fill="EEF4F8"/>
          </w:tcPr>
          <w:p>
            <w:pPr>
              <w:spacing w:after="20"/>
            </w:pPr>
            <w:r/>
            <w:r>
              <w:rPr>
                <w:rFonts w:ascii="Microsoft YaHei" w:hAnsi="Microsoft YaHei" w:eastAsia="Microsoft YaHei"/>
                <w:b w:val="0"/>
                <w:sz w:val="16"/>
              </w:rPr>
              <w:t>3,864</w:t>
            </w:r>
          </w:p>
        </w:tc>
        <w:tc>
          <w:tcPr>
            <w:tcW w:type="dxa" w:w="3672"/>
            <w:vAlign w:val="center"/>
            <w:shd w:fill="EEF4F8"/>
          </w:tcPr>
          <w:p>
            <w:pPr>
              <w:spacing w:after="20"/>
            </w:pPr>
            <w:r/>
            <w:r>
              <w:rPr>
                <w:rFonts w:ascii="Microsoft YaHei" w:hAnsi="Microsoft YaHei" w:eastAsia="Microsoft YaHei"/>
                <w:b w:val="0"/>
                <w:sz w:val="16"/>
              </w:rPr>
              <w:t>检查是否在多个服务端布局/页面重复读取。</w:t>
            </w:r>
          </w:p>
        </w:tc>
      </w:tr>
      <w:tr>
        <w:tc>
          <w:tcPr>
            <w:tcW w:type="dxa" w:w="3240"/>
            <w:vAlign w:val="center"/>
          </w:tcPr>
          <w:p>
            <w:pPr>
              <w:spacing w:after="20"/>
            </w:pPr>
            <w:r/>
            <w:r>
              <w:rPr>
                <w:rFonts w:ascii="Microsoft YaHei" w:hAnsi="Microsoft YaHei" w:eastAsia="Microsoft YaHei"/>
                <w:b w:val="0"/>
                <w:sz w:val="16"/>
              </w:rPr>
              <w:t>/rest/v1/rpc/notification_snapshot</w:t>
            </w:r>
          </w:p>
        </w:tc>
        <w:tc>
          <w:tcPr>
            <w:tcW w:type="dxa" w:w="1440"/>
            <w:vAlign w:val="center"/>
          </w:tcPr>
          <w:p>
            <w:pPr>
              <w:spacing w:after="20"/>
            </w:pPr>
            <w:r/>
            <w:r>
              <w:rPr>
                <w:rFonts w:ascii="Microsoft YaHei" w:hAnsi="Microsoft YaHei" w:eastAsia="Microsoft YaHei"/>
                <w:b w:val="0"/>
                <w:sz w:val="16"/>
              </w:rPr>
              <w:t>148</w:t>
            </w:r>
          </w:p>
        </w:tc>
        <w:tc>
          <w:tcPr>
            <w:tcW w:type="dxa" w:w="1800"/>
            <w:vAlign w:val="center"/>
          </w:tcPr>
          <w:p>
            <w:pPr>
              <w:spacing w:after="20"/>
            </w:pPr>
            <w:r/>
            <w:r>
              <w:rPr>
                <w:rFonts w:ascii="Microsoft YaHei" w:hAnsi="Microsoft YaHei" w:eastAsia="Microsoft YaHei"/>
                <w:b w:val="0"/>
                <w:sz w:val="16"/>
              </w:rPr>
              <w:t>6,800</w:t>
            </w:r>
          </w:p>
        </w:tc>
        <w:tc>
          <w:tcPr>
            <w:tcW w:type="dxa" w:w="3672"/>
            <w:vAlign w:val="center"/>
          </w:tcPr>
          <w:p>
            <w:pPr>
              <w:spacing w:after="20"/>
            </w:pPr>
            <w:r/>
            <w:r>
              <w:rPr>
                <w:rFonts w:ascii="Microsoft YaHei" w:hAnsi="Microsoft YaHei" w:eastAsia="Microsoft YaHei"/>
                <w:b w:val="0"/>
                <w:sz w:val="16"/>
              </w:rPr>
              <w:t>通知快照若在后台或多标签页持续刷新，可减少轮询并复用结果。</w:t>
            </w:r>
          </w:p>
        </w:tc>
      </w:tr>
      <w:tr>
        <w:tc>
          <w:tcPr>
            <w:tcW w:type="dxa" w:w="3240"/>
            <w:vAlign w:val="center"/>
            <w:shd w:fill="EEF4F8"/>
          </w:tcPr>
          <w:p>
            <w:pPr>
              <w:spacing w:after="20"/>
            </w:pPr>
            <w:r/>
            <w:r>
              <w:rPr>
                <w:rFonts w:ascii="Microsoft YaHei" w:hAnsi="Microsoft YaHei" w:eastAsia="Microsoft YaHei"/>
                <w:b w:val="0"/>
                <w:sz w:val="16"/>
              </w:rPr>
              <w:t>/storage/v1/object/sign/novel-files</w:t>
            </w:r>
          </w:p>
        </w:tc>
        <w:tc>
          <w:tcPr>
            <w:tcW w:type="dxa" w:w="1440"/>
            <w:vAlign w:val="center"/>
            <w:shd w:fill="EEF4F8"/>
          </w:tcPr>
          <w:p>
            <w:pPr>
              <w:spacing w:after="20"/>
            </w:pPr>
            <w:r/>
            <w:r>
              <w:rPr>
                <w:rFonts w:ascii="Microsoft YaHei" w:hAnsi="Microsoft YaHei" w:eastAsia="Microsoft YaHei"/>
                <w:b w:val="0"/>
                <w:sz w:val="16"/>
              </w:rPr>
              <w:t>32</w:t>
            </w:r>
          </w:p>
        </w:tc>
        <w:tc>
          <w:tcPr>
            <w:tcW w:type="dxa" w:w="1800"/>
            <w:vAlign w:val="center"/>
            <w:shd w:fill="EEF4F8"/>
          </w:tcPr>
          <w:p>
            <w:pPr>
              <w:spacing w:after="20"/>
            </w:pPr>
            <w:r/>
            <w:r>
              <w:rPr>
                <w:rFonts w:ascii="Microsoft YaHei" w:hAnsi="Microsoft YaHei" w:eastAsia="Microsoft YaHei"/>
                <w:b w:val="0"/>
                <w:sz w:val="16"/>
              </w:rPr>
              <w:t>304,352</w:t>
            </w:r>
          </w:p>
        </w:tc>
        <w:tc>
          <w:tcPr>
            <w:tcW w:type="dxa" w:w="3672"/>
            <w:vAlign w:val="center"/>
            <w:shd w:fill="EEF4F8"/>
          </w:tcPr>
          <w:p>
            <w:pPr>
              <w:spacing w:after="20"/>
            </w:pPr>
            <w:r/>
            <w:r>
              <w:rPr>
                <w:rFonts w:ascii="Microsoft YaHei" w:hAnsi="Microsoft YaHei" w:eastAsia="Microsoft YaHei"/>
                <w:b w:val="0"/>
                <w:sz w:val="16"/>
              </w:rPr>
              <w:t>这是签名 URL 接口的日志长度；不等于签名 URL 实际访问的文件下载字节。</w:t>
            </w:r>
          </w:p>
        </w:tc>
      </w:tr>
    </w:tbl>
    <w:p>
      <w:pPr>
        <w:spacing w:after="0"/>
      </w:pPr>
    </w:p>
    <w:p>
      <w:r>
        <w:t>请求数本身约为每小时123条边缘请求，不能单独证明带宽异常。更可疑的是小型数据端点出现较多重复调用，以及与大量 PostgREST 超时同时出现。日志中边缘 4xx 主要是 6 条 /auth/v1/user 的 403，未观察到边缘 5xx；这不排除服务端取消或 PostgREST 内部超时。</w:t>
      </w:r>
    </w:p>
    <w:p>
      <w:pPr>
        <w:pStyle w:val="Heading1"/>
      </w:pPr>
      <w:r>
        <w:t>4 数据体积与异常线索</w:t>
      </w:r>
    </w:p>
    <w:tbl>
      <w:tblPr>
        <w:tblStyle w:val="TableGrid"/>
        <w:tblW w:type="auto" w:w="0"/>
        <w:jc w:val="center"/>
        <w:tblLook w:firstColumn="1" w:firstRow="1" w:lastColumn="0" w:lastRow="0" w:noHBand="0" w:noVBand="1" w:val="04A0"/>
      </w:tblPr>
      <w:tblGrid>
        <w:gridCol w:w="2541"/>
        <w:gridCol w:w="2541"/>
        <w:gridCol w:w="2541"/>
        <w:gridCol w:w="2541"/>
      </w:tblGrid>
      <w:tr>
        <w:tc>
          <w:tcPr>
            <w:tcW w:type="dxa" w:w="2376"/>
            <w:vAlign w:val="center"/>
            <w:shd w:fill="164A6F"/>
          </w:tcPr>
          <w:p>
            <w:pPr>
              <w:spacing w:after="20"/>
            </w:pPr>
            <w:r/>
            <w:r>
              <w:rPr>
                <w:rFonts w:ascii="Microsoft YaHei" w:hAnsi="Microsoft YaHei" w:eastAsia="Microsoft YaHei"/>
                <w:b/>
                <w:color w:val="FFFFFF"/>
                <w:sz w:val="17"/>
              </w:rPr>
              <w:t>表</w:t>
            </w:r>
          </w:p>
        </w:tc>
        <w:tc>
          <w:tcPr>
            <w:tcW w:type="dxa" w:w="1080"/>
            <w:vAlign w:val="center"/>
            <w:shd w:fill="164A6F"/>
          </w:tcPr>
          <w:p>
            <w:pPr>
              <w:spacing w:after="20"/>
            </w:pPr>
            <w:r/>
            <w:r>
              <w:rPr>
                <w:rFonts w:ascii="Microsoft YaHei" w:hAnsi="Microsoft YaHei" w:eastAsia="Microsoft YaHei"/>
                <w:b/>
                <w:color w:val="FFFFFF"/>
                <w:sz w:val="17"/>
              </w:rPr>
              <w:t>精确行数</w:t>
            </w:r>
          </w:p>
        </w:tc>
        <w:tc>
          <w:tcPr>
            <w:tcW w:type="dxa" w:w="1656"/>
            <w:vAlign w:val="center"/>
            <w:shd w:fill="164A6F"/>
          </w:tcPr>
          <w:p>
            <w:pPr>
              <w:spacing w:after="20"/>
            </w:pPr>
            <w:r/>
            <w:r>
              <w:rPr>
                <w:rFonts w:ascii="Microsoft YaHei" w:hAnsi="Microsoft YaHei" w:eastAsia="Microsoft YaHei"/>
                <w:b/>
                <w:color w:val="FFFFFF"/>
                <w:sz w:val="17"/>
              </w:rPr>
              <w:t>关系表总大小</w:t>
            </w:r>
          </w:p>
        </w:tc>
        <w:tc>
          <w:tcPr>
            <w:tcW w:type="dxa" w:w="5040"/>
            <w:vAlign w:val="center"/>
            <w:shd w:fill="164A6F"/>
          </w:tcPr>
          <w:p>
            <w:pPr>
              <w:spacing w:after="20"/>
            </w:pPr>
            <w:r/>
            <w:r>
              <w:rPr>
                <w:rFonts w:ascii="Microsoft YaHei" w:hAnsi="Microsoft YaHei" w:eastAsia="Microsoft YaHei"/>
                <w:b/>
                <w:color w:val="FFFFFF"/>
                <w:sz w:val="17"/>
              </w:rPr>
              <w:t>观测</w:t>
            </w:r>
          </w:p>
        </w:tc>
      </w:tr>
      <w:tr>
        <w:tc>
          <w:tcPr>
            <w:tcW w:type="dxa" w:w="2376"/>
            <w:vAlign w:val="center"/>
          </w:tcPr>
          <w:p>
            <w:pPr>
              <w:spacing w:after="20"/>
            </w:pPr>
            <w:r/>
            <w:r>
              <w:rPr>
                <w:rFonts w:ascii="Microsoft YaHei" w:hAnsi="Microsoft YaHei" w:eastAsia="Microsoft YaHei"/>
                <w:b w:val="0"/>
                <w:sz w:val="16"/>
              </w:rPr>
              <w:t>schedule_version_backups</w:t>
            </w:r>
          </w:p>
        </w:tc>
        <w:tc>
          <w:tcPr>
            <w:tcW w:type="dxa" w:w="1080"/>
            <w:vAlign w:val="center"/>
          </w:tcPr>
          <w:p>
            <w:pPr>
              <w:spacing w:after="20"/>
            </w:pPr>
            <w:r/>
            <w:r>
              <w:rPr>
                <w:rFonts w:ascii="Microsoft YaHei" w:hAnsi="Microsoft YaHei" w:eastAsia="Microsoft YaHei"/>
                <w:b w:val="0"/>
                <w:sz w:val="16"/>
              </w:rPr>
              <w:t>304</w:t>
            </w:r>
          </w:p>
        </w:tc>
        <w:tc>
          <w:tcPr>
            <w:tcW w:type="dxa" w:w="1656"/>
            <w:vAlign w:val="center"/>
          </w:tcPr>
          <w:p>
            <w:pPr>
              <w:spacing w:after="20"/>
            </w:pPr>
            <w:r/>
            <w:r>
              <w:rPr>
                <w:rFonts w:ascii="Microsoft YaHei" w:hAnsi="Microsoft YaHei" w:eastAsia="Microsoft YaHei"/>
                <w:b w:val="0"/>
                <w:sz w:val="16"/>
              </w:rPr>
              <w:t>约48 MiB</w:t>
            </w:r>
          </w:p>
        </w:tc>
        <w:tc>
          <w:tcPr>
            <w:tcW w:type="dxa" w:w="5040"/>
            <w:vAlign w:val="center"/>
          </w:tcPr>
          <w:p>
            <w:pPr>
              <w:spacing w:after="20"/>
            </w:pPr>
            <w:r/>
            <w:r>
              <w:rPr>
                <w:rFonts w:ascii="Microsoft YaHei" w:hAnsi="Microsoft YaHei" w:eastAsia="Microsoft YaHei"/>
                <w:b w:val="0"/>
                <w:sz w:val="16"/>
              </w:rPr>
              <w:t>全部属于一个账户；时间集中于约34小时；revision 206–508。JSON 平均约159,756 bytes，最大约195,843 bytes。</w:t>
            </w:r>
          </w:p>
        </w:tc>
      </w:tr>
      <w:tr>
        <w:tc>
          <w:tcPr>
            <w:tcW w:type="dxa" w:w="2376"/>
            <w:vAlign w:val="center"/>
            <w:shd w:fill="EEF4F8"/>
          </w:tcPr>
          <w:p>
            <w:pPr>
              <w:spacing w:after="20"/>
            </w:pPr>
            <w:r/>
            <w:r>
              <w:rPr>
                <w:rFonts w:ascii="Microsoft YaHei" w:hAnsi="Microsoft YaHei" w:eastAsia="Microsoft YaHei"/>
                <w:b w:val="0"/>
                <w:sz w:val="16"/>
              </w:rPr>
              <w:t>novel_catalog_chapters</w:t>
            </w:r>
          </w:p>
        </w:tc>
        <w:tc>
          <w:tcPr>
            <w:tcW w:type="dxa" w:w="1080"/>
            <w:vAlign w:val="center"/>
            <w:shd w:fill="EEF4F8"/>
          </w:tcPr>
          <w:p>
            <w:pPr>
              <w:spacing w:after="20"/>
            </w:pPr>
            <w:r/>
            <w:r>
              <w:rPr>
                <w:rFonts w:ascii="Microsoft YaHei" w:hAnsi="Microsoft YaHei" w:eastAsia="Microsoft YaHei"/>
                <w:b w:val="0"/>
                <w:sz w:val="16"/>
              </w:rPr>
              <w:t>1,129</w:t>
            </w:r>
          </w:p>
        </w:tc>
        <w:tc>
          <w:tcPr>
            <w:tcW w:type="dxa" w:w="1656"/>
            <w:vAlign w:val="center"/>
            <w:shd w:fill="EEF4F8"/>
          </w:tcPr>
          <w:p>
            <w:pPr>
              <w:spacing w:after="20"/>
            </w:pPr>
            <w:r/>
            <w:r>
              <w:rPr>
                <w:rFonts w:ascii="Microsoft YaHei" w:hAnsi="Microsoft YaHei" w:eastAsia="Microsoft YaHei"/>
                <w:b w:val="0"/>
                <w:sz w:val="16"/>
              </w:rPr>
              <w:t>约14 MiB</w:t>
            </w:r>
          </w:p>
        </w:tc>
        <w:tc>
          <w:tcPr>
            <w:tcW w:type="dxa" w:w="5040"/>
            <w:vAlign w:val="center"/>
            <w:shd w:fill="EEF4F8"/>
          </w:tcPr>
          <w:p>
            <w:pPr>
              <w:spacing w:after="20"/>
            </w:pPr>
            <w:r/>
            <w:r>
              <w:rPr>
                <w:rFonts w:ascii="Microsoft YaHei" w:hAnsi="Microsoft YaHei" w:eastAsia="Microsoft YaHei"/>
                <w:b w:val="0"/>
                <w:sz w:val="16"/>
              </w:rPr>
              <w:t>分布在4个小说目录；平均章节内容约11 KB，最大约242 KB，可能是预期内容数据。</w:t>
            </w:r>
          </w:p>
        </w:tc>
      </w:tr>
      <w:tr>
        <w:tc>
          <w:tcPr>
            <w:tcW w:type="dxa" w:w="2376"/>
            <w:vAlign w:val="center"/>
          </w:tcPr>
          <w:p>
            <w:pPr>
              <w:spacing w:after="20"/>
            </w:pPr>
            <w:r/>
            <w:r>
              <w:rPr>
                <w:rFonts w:ascii="Microsoft YaHei" w:hAnsi="Microsoft YaHei" w:eastAsia="Microsoft YaHei"/>
                <w:b w:val="0"/>
                <w:sz w:val="16"/>
              </w:rPr>
              <w:t>backup_center_versions</w:t>
            </w:r>
          </w:p>
        </w:tc>
        <w:tc>
          <w:tcPr>
            <w:tcW w:type="dxa" w:w="1080"/>
            <w:vAlign w:val="center"/>
          </w:tcPr>
          <w:p>
            <w:pPr>
              <w:spacing w:after="20"/>
            </w:pPr>
            <w:r/>
            <w:r>
              <w:rPr>
                <w:rFonts w:ascii="Microsoft YaHei" w:hAnsi="Microsoft YaHei" w:eastAsia="Microsoft YaHei"/>
                <w:b w:val="0"/>
                <w:sz w:val="16"/>
              </w:rPr>
              <w:t>167</w:t>
            </w:r>
          </w:p>
        </w:tc>
        <w:tc>
          <w:tcPr>
            <w:tcW w:type="dxa" w:w="1656"/>
            <w:vAlign w:val="center"/>
          </w:tcPr>
          <w:p>
            <w:pPr>
              <w:spacing w:after="20"/>
            </w:pPr>
            <w:r/>
            <w:r>
              <w:rPr>
                <w:rFonts w:ascii="Microsoft YaHei" w:hAnsi="Microsoft YaHei" w:eastAsia="Microsoft YaHei"/>
                <w:b w:val="0"/>
                <w:sz w:val="16"/>
              </w:rPr>
              <w:t>约12 MiB</w:t>
            </w:r>
          </w:p>
        </w:tc>
        <w:tc>
          <w:tcPr>
            <w:tcW w:type="dxa" w:w="5040"/>
            <w:vAlign w:val="center"/>
          </w:tcPr>
          <w:p>
            <w:pPr>
              <w:spacing w:after="20"/>
            </w:pPr>
            <w:r/>
            <w:r>
              <w:rPr>
                <w:rFonts w:ascii="Microsoft YaHei" w:hAnsi="Microsoft YaHei" w:eastAsia="Microsoft YaHei"/>
                <w:b w:val="0"/>
                <w:sz w:val="16"/>
              </w:rPr>
              <w:t>覆盖8个账户；快照平均约56 KB，最大约1.06 MB，符合备份会占用空间的特征。</w:t>
            </w:r>
          </w:p>
        </w:tc>
      </w:tr>
      <w:tr>
        <w:tc>
          <w:tcPr>
            <w:tcW w:type="dxa" w:w="2376"/>
            <w:vAlign w:val="center"/>
            <w:shd w:fill="EEF4F8"/>
          </w:tcPr>
          <w:p>
            <w:pPr>
              <w:spacing w:after="20"/>
            </w:pPr>
            <w:r/>
            <w:r>
              <w:rPr>
                <w:rFonts w:ascii="Microsoft YaHei" w:hAnsi="Microsoft YaHei" w:eastAsia="Microsoft YaHei"/>
                <w:b w:val="0"/>
                <w:sz w:val="16"/>
              </w:rPr>
              <w:t>sync_operations</w:t>
            </w:r>
          </w:p>
        </w:tc>
        <w:tc>
          <w:tcPr>
            <w:tcW w:type="dxa" w:w="1080"/>
            <w:vAlign w:val="center"/>
            <w:shd w:fill="EEF4F8"/>
          </w:tcPr>
          <w:p>
            <w:pPr>
              <w:spacing w:after="20"/>
            </w:pPr>
            <w:r/>
            <w:r>
              <w:rPr>
                <w:rFonts w:ascii="Microsoft YaHei" w:hAnsi="Microsoft YaHei" w:eastAsia="Microsoft YaHei"/>
                <w:b w:val="0"/>
                <w:sz w:val="16"/>
              </w:rPr>
              <w:t>4,463</w:t>
            </w:r>
          </w:p>
        </w:tc>
        <w:tc>
          <w:tcPr>
            <w:tcW w:type="dxa" w:w="1656"/>
            <w:vAlign w:val="center"/>
            <w:shd w:fill="EEF4F8"/>
          </w:tcPr>
          <w:p>
            <w:pPr>
              <w:spacing w:after="20"/>
            </w:pPr>
            <w:r/>
            <w:r>
              <w:rPr>
                <w:rFonts w:ascii="Microsoft YaHei" w:hAnsi="Microsoft YaHei" w:eastAsia="Microsoft YaHei"/>
                <w:b w:val="0"/>
                <w:sz w:val="16"/>
              </w:rPr>
              <w:t>约4.1 MiB</w:t>
            </w:r>
          </w:p>
        </w:tc>
        <w:tc>
          <w:tcPr>
            <w:tcW w:type="dxa" w:w="5040"/>
            <w:vAlign w:val="center"/>
            <w:shd w:fill="EEF4F8"/>
          </w:tcPr>
          <w:p>
            <w:pPr>
              <w:spacing w:after="20"/>
            </w:pPr>
            <w:r/>
            <w:r>
              <w:rPr>
                <w:rFonts w:ascii="Microsoft YaHei" w:hAnsi="Microsoft YaHei" w:eastAsia="Microsoft YaHei"/>
                <w:b w:val="0"/>
                <w:sz w:val="16"/>
              </w:rPr>
              <w:t>体量目前有限；建议结合保留策略和超时一起检查，不宜只按行数判断异常。</w:t>
            </w:r>
          </w:p>
        </w:tc>
      </w:tr>
      <w:tr>
        <w:tc>
          <w:tcPr>
            <w:tcW w:type="dxa" w:w="2376"/>
            <w:vAlign w:val="center"/>
          </w:tcPr>
          <w:p>
            <w:pPr>
              <w:spacing w:after="20"/>
            </w:pPr>
            <w:r/>
            <w:r>
              <w:rPr>
                <w:rFonts w:ascii="Microsoft YaHei" w:hAnsi="Microsoft YaHei" w:eastAsia="Microsoft YaHei"/>
                <w:b w:val="0"/>
                <w:sz w:val="16"/>
              </w:rPr>
              <w:t>practice_timer_live</w:t>
            </w:r>
          </w:p>
        </w:tc>
        <w:tc>
          <w:tcPr>
            <w:tcW w:type="dxa" w:w="1080"/>
            <w:vAlign w:val="center"/>
          </w:tcPr>
          <w:p>
            <w:pPr>
              <w:spacing w:after="20"/>
            </w:pPr>
            <w:r/>
            <w:r>
              <w:rPr>
                <w:rFonts w:ascii="Microsoft YaHei" w:hAnsi="Microsoft YaHei" w:eastAsia="Microsoft YaHei"/>
                <w:b w:val="0"/>
                <w:sz w:val="16"/>
              </w:rPr>
              <w:t>1</w:t>
            </w:r>
          </w:p>
        </w:tc>
        <w:tc>
          <w:tcPr>
            <w:tcW w:type="dxa" w:w="1656"/>
            <w:vAlign w:val="center"/>
          </w:tcPr>
          <w:p>
            <w:pPr>
              <w:spacing w:after="20"/>
            </w:pPr>
            <w:r/>
            <w:r>
              <w:rPr>
                <w:rFonts w:ascii="Microsoft YaHei" w:hAnsi="Microsoft YaHei" w:eastAsia="Microsoft YaHei"/>
                <w:b w:val="0"/>
                <w:sz w:val="16"/>
              </w:rPr>
              <w:t>约264 KiB</w:t>
            </w:r>
          </w:p>
        </w:tc>
        <w:tc>
          <w:tcPr>
            <w:tcW w:type="dxa" w:w="5040"/>
            <w:vAlign w:val="center"/>
          </w:tcPr>
          <w:p>
            <w:pPr>
              <w:spacing w:after="20"/>
            </w:pPr>
            <w:r/>
            <w:r>
              <w:rPr>
                <w:rFonts w:ascii="Microsoft YaHei" w:hAnsi="Microsoft YaHei" w:eastAsia="Microsoft YaHei"/>
                <w:b w:val="0"/>
                <w:sz w:val="16"/>
              </w:rPr>
              <w:t>单行实时状态表；统计信息显示累计顺序扫描较多，但统计计数未按本次24小时窗口重置，不能据此断定近期流量。</w:t>
            </w:r>
          </w:p>
        </w:tc>
      </w:tr>
    </w:tbl>
    <w:p>
      <w:pPr>
        <w:spacing w:after="0"/>
      </w:pPr>
    </w:p>
    <w:p>
      <w:r>
        <w:t>schedule_version_backups 的迁移触发器会在 Schedule 内容发生变化时先保存旧快照，并在写入时清理90天以前的记录。304个快照形成连续 revision，说明它们不是随机垃圾数据；但约一天内产生如此多、每条约160 KB的完整快照，可能来自频繁自动保存、重复同步或真实的大量编辑。旧记录仍在90天保留期内，且清理只会在后续写入时触发，所以暂时不建议直接删除。</w:t>
      </w:r>
    </w:p>
    <w:p>
      <w:r>
        <w:t>未发现显然的孤儿账户计数：auth.users 和 profiles 精确行数同为8。仅抽查了少数表和摘要，不能据此断言全库完全没有重复、无效或业务上不期望的数据。</w:t>
      </w:r>
    </w:p>
    <w:p>
      <w:pPr>
        <w:pStyle w:val="Heading1"/>
      </w:pPr>
      <w:r>
        <w:t>5 建议的排查顺序</w:t>
      </w:r>
    </w:p>
    <w:p>
      <w:pPr>
        <w:pStyle w:val="ListNumber"/>
        <w:spacing w:after="80"/>
      </w:pPr>
      <w:r>
        <w:t>先处理超时定位：在 Supabase 日志中按 PostgREST 超时发生时间关联 edge request_id、路径和数据库错误，找出具体 RPC、表或 RLS 查询。当前259条超时记录没有足够信息直接定位源头，不要先盲目增加索引。</w:t>
      </w:r>
    </w:p>
    <w:p>
      <w:pPr>
        <w:pStyle w:val="ListNumber"/>
        <w:spacing w:after="80"/>
      </w:pPr>
      <w:r>
        <w:t>核查 Schedule 自动保存：对照产生 revision 206–508 的客户端/服务端写入机制，判断是否有页面定时器、多个标签页或无变化内容仍不断写入。只有确认冗余写入后，再调整去重、保存间隔或快照策略；保留现有可恢复数据。</w:t>
      </w:r>
    </w:p>
    <w:p>
      <w:pPr>
        <w:pStyle w:val="ListNumber"/>
        <w:spacing w:after="80"/>
      </w:pPr>
      <w:r>
        <w:t>压低重复读取：优先检查 profiles、app_features、beta_enrollments 和 notification_snapshot 是否被多个布局或请求重复调用；在安全范围内使用请求级缓存或短时缓存，并让通知只在需要时刷新。</w:t>
      </w:r>
    </w:p>
    <w:p>
      <w:pPr>
        <w:pStyle w:val="ListNumber"/>
        <w:spacing w:after="80"/>
      </w:pPr>
      <w:r>
        <w:t>从 Supabase Dashboard 记录 Database 与 Storage 的实际 egress 使用量及套餐配额，按日比较至少一周；同时将应用静态资源、小说文件下载与数据库 API 分开统计。日志响应长度无法替代 Dashboard 的计费指标。</w:t>
      </w:r>
    </w:p>
    <w:p>
      <w:pPr>
        <w:pStyle w:val="ListNumber"/>
        <w:spacing w:after="80"/>
      </w:pPr>
      <w:r>
        <w:t>完成优化后再复查同一窗口的请求数、PostgREST 超时数和真实 egress；在确认业务效果前，不清理备份或历史同步记录。</w:t>
      </w:r>
    </w:p>
    <w:p>
      <w:pPr>
        <w:pStyle w:val="Heading1"/>
      </w:pPr>
      <w:r>
        <w:t>6 本次处理结果</w:t>
      </w:r>
    </w:p>
    <w:p>
      <w:r>
        <w:t>本次仅做只读检查并形成报告。没有更改 Supabase 数据、架构或应用代码。建议下一步先定位259条 PostgREST 超时的具体请求来源，再决定是否需要调整自动保存和页面缓存。</w:t>
      </w:r>
    </w:p>
    <w:p>
      <w:r>
        <w:br w:type="page"/>
      </w:r>
    </w:p>
    <w:p>
      <w:pPr>
        <w:pStyle w:val="Heading1"/>
      </w:pPr>
      <w:r>
        <w:t>7 后续代码优化实施记录</w:t>
      </w:r>
    </w:p>
    <w:p>
      <w:r>
        <w:t>根据本次数据库与流量排查，已在 2026 年 10 月 20 日完成阅读书目资源的按需获取优化，门户版本升至 3.30.1。以下记录说明实现行为和测量边界。数据库结构与现有记录均未修改。</w:t>
      </w:r>
    </w:p>
    <w:p>
      <w:pPr>
        <w:pStyle w:val="Heading2"/>
      </w:pPr>
      <w:r>
        <w:t>改动范围与行为</w:t>
      </w:r>
    </w:p>
    <w:p>
      <w:pPr>
        <w:pStyle w:val="ListBullet"/>
      </w:pPr>
      <w:r>
        <w:t>阅读器初始化仍批量签发封面地址；书籍正文地址只为确实需要自动导入且尚无已托管章节的用户书目预签。已经导入章节的书籍继续通过章节接口读取正文。</w:t>
      </w:r>
    </w:p>
    <w:p>
      <w:pPr>
        <w:pStyle w:val="ListBullet"/>
      </w:pPr>
      <w:r>
        <w:t>其他书籍的正文下载地址不再随目录初始化返回。用户开始导入或更新正文时，客户端才调用新的服务端动作获取短期签名地址。服务端校验书目标识格式、书目启用状态、用户授权或当前套餐、功能可见性，并签发一小时有效链接。</w:t>
      </w:r>
    </w:p>
    <w:p>
      <w:pPr>
        <w:pStyle w:val="ListBullet"/>
      </w:pPr>
      <w:r>
        <w:t>目录封面改为浏览器懒加载并异步解码。封面文件大小没有改变；它只推迟未进入视口图片的下载，用户滚动查看后仍会按需获取。</w:t>
      </w:r>
    </w:p>
    <w:p>
      <w:pPr>
        <w:pStyle w:val="ListBullet"/>
      </w:pPr>
      <w:r>
        <w:t>这些改动减少目录加载时未使用书籍正文链接的签发请求，并延迟屏幕外封面的传输。实际节省字节数取决于用户访问与导入行为，须在发布后结合 Supabase Usage 的实际 egress 指标复核。</w:t>
      </w:r>
    </w:p>
    <w:p>
      <w:pPr>
        <w:pStyle w:val="Heading2"/>
      </w:pPr>
      <w:r>
        <w:t>验证范围与后续测量</w:t>
      </w:r>
    </w:p>
    <w:p>
      <w:r>
        <w:t>代码差异已检查。此轮未运行自动化测试或生产构建；本机 Supabase 请求日志中的响应长度不能代替网络出口字节统计。优化发布后，建议以相同时间窗口比较 Supabase Dashboard 的 egress、Storage 下载量和应用目录请求量，并观察登录用户、访客及已导入书籍的实际流程。</w:t>
      </w:r>
    </w:p>
    <w:p>
      <w:r>
        <w:t>本次只改动应用层书目资源加载，没有执行数据库写入、删除、迁移或清理。先前报告中 schedule_version_backups 的体量仍需独立确认其备份频率与保留策略，不能据本次代码优化推断已解决。</w:t>
      </w:r>
    </w:p>
    <w:sectPr w:rsidR="00FC693F" w:rsidRPr="0006063C" w:rsidSect="00034616">
      <w:footerReference w:type="default" r:id="rId9"/>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707E8A"/>
        <w:sz w:val="16"/>
      </w:rPr>
      <w:t xml:space="preserve">JACKYUN  |  数据库与流量排查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Microsoft YaHei" w:hAnsi="Microsoft YaHei" w:eastAsia="Microsoft YaHei"/>
      <w:color w:val="2A354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Microsoft YaHei" w:hAnsi="Microsoft YaHei" w:eastAsia="Microsoft YaHei"/>
      <w:b/>
      <w:bCs/>
      <w:color w:val="164A6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164A6F"/>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contextualSpacing/>
    </w:pPr>
    <w:rPr>
      <w:rFonts w:asciiTheme="majorHAnsi" w:eastAsiaTheme="majorEastAsia" w:hAnsiTheme="majorHAnsi" w:cstheme="majorBidi" w:ascii="Microsoft YaHei" w:hAnsi="Microsoft YaHei" w:eastAsia="Microsoft YaHei"/>
      <w:b/>
      <w:color w:val="16375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