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资源同步性能证据</w:t>
      </w:r>
    </w:p>
    <w:p>
      <w:pPr>
        <w:spacing w:after="240"/>
      </w:pPr>
      <w:r>
        <w:rPr>
          <w:rFonts w:ascii="Microsoft YaHei" w:hAnsi="Microsoft YaHei" w:eastAsia="Microsoft YaHei"/>
          <w:color w:val="4B4B4B"/>
          <w:sz w:val="22"/>
        </w:rPr>
        <w:t>客户端传输行为的可重复测试记录  |  3.47.1</w:t>
      </w:r>
    </w:p>
    <w:p>
      <w:pPr>
        <w:pStyle w:val="Heading1"/>
      </w:pPr>
      <w:r>
        <w:t>结论</w:t>
      </w:r>
    </w:p>
    <w:p>
      <w:r>
        <w:t>在真实运行 v5 客户端、使用 fake-indexeddb 和模拟 HTTP 服务的回归测试中，页面首次加载只请求所订阅的 CUE 资源；修改一条 CUE 只向资源操作接口发送 526 B 请求；无变化再次同步不请求记录正文，响应总量为 249 B。该结果验证了当前客户端的资源级请求边界和无变化路径，不是 v4 与 v5 的生产环境对照，也不代表 Azure 数据库负载或公网流量。</w:t>
      </w:r>
    </w:p>
    <w:p>
      <w:pPr>
        <w:pStyle w:val="Heading1"/>
      </w:pPr>
      <w:r>
        <w:t>测试范围与方法</w:t>
      </w:r>
    </w:p>
    <w:p>
      <w:r>
        <w:t>本记录对应 jackyun-portal/tests/sync-v5-client.test.mts 中的 v5 客户端集成测试。测试运行 createV5ResourceSync，使用独立 IndexedDB 测试数据库，模拟 /api/sync/v5、manifest、records、changes、receipts 与 operations，并在每次请求边界记录 HTTP 方法、路径、UTF-8 请求体字节数及响应体字节数。测量也记录单次同步在本机测试进程内的 elapsedMs。</w:t>
      </w:r>
    </w:p>
    <w:p>
      <w:r>
        <w:t>Schedule 夹具含一条 CUE 和 200,000 个 ASCII 字符的 legacyHistory 字段；该字段用于让完整 Schedule 尺寸明显大于 CUE 操作，不是从用户数据或生产备份读取的内容。客户端在这三次场景中订阅的范围仅为 cue/cues。</w:t>
      </w:r>
    </w:p>
    <w:p>
      <w:pPr>
        <w:pStyle w:val="Heading1"/>
      </w:pPr>
      <w:r>
        <w:t>测量结果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2376"/>
            <w:vAlign w:val="center"/>
            <w:shd w:fill="3341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440"/>
            <w:vAlign w:val="center"/>
            <w:shd w:fill="3341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HTTP 请求数</w:t>
            </w:r>
          </w:p>
        </w:tc>
        <w:tc>
          <w:tcPr>
            <w:tcW w:type="dxa" w:w="1512"/>
            <w:vAlign w:val="center"/>
            <w:shd w:fill="3341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请求体</w:t>
            </w:r>
          </w:p>
        </w:tc>
        <w:tc>
          <w:tcPr>
            <w:tcW w:type="dxa" w:w="1512"/>
            <w:vAlign w:val="center"/>
            <w:shd w:fill="3341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响应体</w:t>
            </w:r>
          </w:p>
        </w:tc>
        <w:tc>
          <w:tcPr>
            <w:tcW w:type="dxa" w:w="1656"/>
            <w:vAlign w:val="center"/>
            <w:shd w:fill="3341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进程耗时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 CUE 基线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B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1,071 B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5 ms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修改单条 CUE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526 B</w:t>
            </w:r>
          </w:p>
        </w:tc>
        <w:tc>
          <w:tcPr>
            <w:tcW w:type="dxa" w:w="15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569 B</w:t>
            </w:r>
          </w:p>
        </w:tc>
        <w:tc>
          <w:tcPr>
            <w:tcW w:type="dxa" w:w="165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4 ms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无变化再次同步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B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249 B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2 ms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 Schedule 夹具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200,084 B</w:t>
            </w:r>
          </w:p>
        </w:tc>
        <w:tc>
          <w:tcPr>
            <w:tcW w:type="dxa" w:w="15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65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>
      <w:r>
        <w:t>单条修改请求体约为夹具完整 Schedule UTF-8 大小的 0.263%（526 / 200,084）。该比例仅作夹具内的请求体尺度参照；它没有把 v4 Gzip、TLS/HTTP 头、代理压缩、重试或响应数据纳入同口径协议比较。进程耗时由本地模拟服务和本机测试环境决定，波动较大，不作为延迟 SLA。</w:t>
      </w:r>
    </w:p>
    <w:p>
      <w:pPr>
        <w:pStyle w:val="Heading1"/>
      </w:pPr>
      <w:r>
        <w:t>覆盖的行为断言</w:t>
      </w:r>
    </w:p>
    <w:p>
      <w:pPr>
        <w:pStyle w:val="ListBullet"/>
      </w:pPr>
      <w:r>
        <w:t>首次基线通过 manifest 获取描述信息，并读取需要的资源正文。</w:t>
      </w:r>
    </w:p>
    <w:p>
      <w:pPr>
        <w:pStyle w:val="ListBullet"/>
      </w:pPr>
      <w:r>
        <w:t>修改 cue-1 后只生成 cues:cue-1 的稳定资源操作；操作由 v5 operations 接口提交。</w:t>
      </w:r>
    </w:p>
    <w:p>
      <w:pPr>
        <w:pStyle w:val="ListBullet"/>
      </w:pPr>
      <w:r>
        <w:t>修改期间没有再次请求 /api/sync/v5/records，避免为该更新重新下载 CUE 正文。</w:t>
      </w:r>
    </w:p>
    <w:p>
      <w:pPr>
        <w:pStyle w:val="ListBullet"/>
      </w:pPr>
      <w:r>
        <w:t>后续无变化同步不读取资源正文，响应体总量低于首次基线。</w:t>
      </w:r>
    </w:p>
    <w:p>
      <w:pPr>
        <w:pStyle w:val="ListBullet"/>
      </w:pPr>
      <w:r>
        <w:t>测量记录统计整个同步过程的端点请求数、请求体字节、响应体字节和本机耗时。</w:t>
      </w:r>
    </w:p>
    <w:p>
      <w:pPr>
        <w:pStyle w:val="Heading1"/>
      </w:pPr>
      <w:r>
        <w:t>解释边界与未验证项</w:t>
      </w:r>
    </w:p>
    <w:p>
      <w:r>
        <w:t>该集成测试验证客户端请求选择与本地同步行为，不验证真实 Azure SQL 查询数、读取字节、投影重建耗时、数据库事务争用或 503 发生率。模拟服务固定返回小型 manifest/change/receipt，因此这些响应大小不代表线上服务。测试也没有执行 v4 与 v5 在相同真实 Schedule、相同网络条件下的双协议流量对照。</w:t>
      </w:r>
    </w:p>
    <w:p>
      <w:r>
        <w:t>生产端点曾受 Vercel Deployment Protection 限制；当前没有可用于生产认证读写的测试凭据，也没有 Azure 运行日志或可安全使用的测试账号。因此本记录不宣称生产端到端读写、数据库回执、跨设备哈希一致性、Azure 迁移结果或真实账号灰度已验收。</w:t>
      </w:r>
    </w:p>
    <w:p>
      <w:pPr>
        <w:pStyle w:val="Heading1"/>
      </w:pPr>
      <w:r>
        <w:t>下一步验收</w:t>
      </w:r>
    </w:p>
    <w:p>
      <w:pPr>
        <w:pStyle w:val="ListNumber"/>
      </w:pPr>
      <w:r>
        <w:t>为受控测试账号执行认证后的 v5 读写、回执确认和重新读取哈希校验；验证前保持 v5 默认关闭。</w:t>
      </w:r>
    </w:p>
    <w:p>
      <w:pPr>
        <w:pStyle w:val="ListNumber"/>
      </w:pPr>
      <w:r>
        <w:t>从 Azure 运行日志或受控测试环境采集单条 CUE 修改的 SQL 查询数、数据库读取字节、兼容投影重建耗时及错误率。</w:t>
      </w:r>
    </w:p>
    <w:p>
      <w:pPr>
        <w:pStyle w:val="ListNumber"/>
      </w:pPr>
      <w:r>
        <w:t>使用同一份经过脱敏的 Schedule 和相同网络条件，分别运行 v4 Gzip 上传与 v5 资源操作，记录请求/响应字节和耗时。</w:t>
      </w:r>
    </w:p>
    <w:p>
      <w:pPr>
        <w:pStyle w:val="ListNumber"/>
      </w:pPr>
      <w:r>
        <w:t>在获得 Azure 迁移与服务端双协议事务证据前，不扩大灰度，不把客户端指标外推为生产容量收益。</w:t>
      </w:r>
    </w:p>
    <w:p>
      <w:pPr>
        <w:pStyle w:val="Heading1"/>
      </w:pPr>
      <w:r>
        <w:t>复现</w:t>
      </w:r>
    </w:p>
    <w:p>
      <w:r>
        <w:rPr>
          <w:b/>
        </w:rPr>
        <w:t>在 jackyun-portal 目录执行：</w:t>
      </w:r>
    </w:p>
    <w:p>
      <w:pPr>
        <w:ind w:left="317"/>
      </w:pPr>
      <w:r>
        <w:rPr>
          <w:rFonts w:ascii="Consolas" w:hAnsi="Consolas"/>
          <w:sz w:val="18"/>
        </w:rPr>
        <w:t>node --test tests/sync-v5-client.test.mts</w:t>
      </w:r>
    </w:p>
    <w:p>
      <w:r>
        <w:t>测试在 Node.js 测试输出中以 JSON 行打印 kind=v5-client-fixture 的结果；具体 elapsedMs 会随机器和负载变化。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A5A5A"/>
        <w:sz w:val="16"/>
      </w:rPr>
      <w:t>版本 3.47.1  ·  客户端夹具测量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05050"/>
        <w:sz w:val="16"/>
      </w:rPr>
      <w:t>JACKYUN PORTAL  |  同步工程验证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 资源同步性能证据</dc:title>
  <dc:subject>JACKYUN Portal 3.47.1 客户端性能行为回归记录</dc:subject>
  <dc:creator>JACKYUN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