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Watch 设置分类与产品入口交付说明</w:t>
      </w:r>
    </w:p>
    <w:p>
      <w:r>
        <w:t>2026 年 10 月 13 日  网页版本 3.12.1  手表测试版 1.1.0 beta 1</w:t>
      </w:r>
    </w:p>
    <w:p>
      <w:r>
        <w:t>本次修正手表功能的入口位置。原先手表管理只是账户与安全中的跳转按钮，现在成为设置中的独立分类；Products 页面加入 Watch 产品介绍、测试 APK 与登录管理入口。界面继续使用原有设置和产品页风格。</w:t>
      </w:r>
    </w:p>
    <w:p>
      <w:pPr>
        <w:pStyle w:val="Heading1"/>
      </w:pPr>
      <w:r>
        <w:t>入口与使用流程</w:t>
      </w:r>
    </w:p>
    <w:p>
      <w:r>
        <w:t>打开设置，选择手表与设备。电脑使用侧边分类按钮，平板和手机使用设置分类下拉框，提供相同的扫码、输入配对码、确认授权、设备列表与撤销操作。也可直接打开 /settings?section=watch。</w:t>
      </w:r>
    </w:p>
    <w:p>
      <w:r>
        <w:t>手表原有二维码使用 /settings/watch?pair=配对信息，新页面自动跳转到独立分类并保留该信息。查看配对请求不会自动授权，用户仍须确认设备和当前账号。</w:t>
      </w:r>
    </w:p>
    <w:p>
      <w:r>
        <w:t>Products 新增 PRODUCT 03 原生手表应用，展示课表、任务、通知、专注、倒计日和 CUE 概览。登录管理按钮进入设置分类；获取测试 APK 指向私有 Watch 仓库中的安装包，需仓库访问权限。手机端首屏也有探索 Watch 入口。</w:t>
      </w:r>
    </w:p>
    <w:p>
      <w:pPr>
        <w:pStyle w:val="Heading1"/>
      </w:pPr>
      <w:r>
        <w:t>安全与版本</w:t>
      </w:r>
    </w:p>
    <w:p>
      <w:r>
        <w:t>仅设置文档开放本站摄像头策略，扫码按钮点击后才申请摄像头权限。其他页面原有策略保持不变。授权和设备操作仍由原接口检查账号身份，本次没有改变凭证、接口权限或数据库结构。</w:t>
      </w:r>
    </w:p>
    <w:p>
      <w:r>
        <w:t>开始时核对本机与远端 main 均为 6d00f61，版本 3.12.0。本次按入口修正更新为 3.12.1，更新包版本、运行版本及更新记录。其他任务尚未提交的手机适配文件不纳入本次提交。</w:t>
      </w:r>
    </w:p>
    <w:p>
      <w:pPr>
        <w:pStyle w:val="Heading1"/>
      </w:pPr>
      <w:r>
        <w:t>验证结果与限制</w:t>
      </w:r>
    </w:p>
    <w:p>
      <w:r>
        <w:t>隔离生产构建与 TypeScript 检查通过；修改文件 ESLint 通过；8 项手表规则测试通过。浏览器在 390、800、1440 像素宽度验证分类定位、配对确认、授权撤销、Products 链接、横向溢出和旧二维码跳转，三种视口全部通过且无页面运行错误。</w:t>
      </w:r>
    </w:p>
    <w:p>
      <w:r>
        <w:t>浏览器授权操作采用模拟接口数据，不代表真实账号联调或 WATCH 4 真机验收。APK 安装、锁屏提醒、耗电和手表屏幕裁切仍需真机验证。既有完整回归的历史失败记录见 3.12.0 实施报告，本次只运行与入口修正相关的检查。</w:t>
      </w:r>
    </w:p>
    <w:p>
      <w:r>
        <w:br w:type="page"/>
      </w:r>
    </w:p>
    <w:p>
      <w:pPr>
        <w:pStyle w:val="Heading1"/>
      </w:pPr>
      <w:r>
        <w:t>界面截图</w:t>
      </w:r>
    </w:p>
    <w:p>
      <w:r>
        <w:t>电脑设置分类与手表管理面板  本地生产构建  模拟测试设备</w:t>
      </w:r>
    </w:p>
    <w:p>
      <w:r>
        <w:drawing>
          <wp:inline xmlns:a="http://schemas.openxmlformats.org/drawingml/2006/main" xmlns:pic="http://schemas.openxmlformats.org/drawingml/2006/picture">
            <wp:extent cx="438912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login-1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手机 Products 手表产品介绍  本地生产构建</w:t>
      </w:r>
    </w:p>
    <w:p>
      <w:r>
        <w:drawing>
          <wp:inline xmlns:a="http://schemas.openxmlformats.org/drawingml/2006/main" xmlns:pic="http://schemas.openxmlformats.org/drawingml/2006/picture">
            <wp:extent cx="1645920" cy="37982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product-3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