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初始化读取优化</w:t>
      </w:r>
    </w:p>
    <w:p>
      <w:r>
        <w:rPr>
          <w:b/>
          <w:color w:val="495B65"/>
          <w:sz w:val="22"/>
        </w:rPr>
        <w:t>3.47.2  ·  服务端兼容投影路径  ·  实施与验证记录</w:t>
      </w:r>
    </w:p>
    <w:p>
      <w:r>
        <w:t>目的：消除已初始化资源范围在每次 v5 请求开始时重复构建 Schedule 投影的冗余读取，同时保持兼容投影写入、CAS、回执和事务边界不变。</w:t>
      </w:r>
    </w:p>
    <w:p>
      <w:pPr>
        <w:pStyle w:val="Heading1"/>
      </w:pPr>
      <w:r>
        <w:t>结论</w:t>
      </w:r>
    </w:p>
    <w:p>
      <w:r>
        <w:t>本次改动把 bootstrap 的查询顺序改为：先在用户级 advisory transaction lock 下读取已初始化 scope；只有发现缺失 scope 时，才读取旧 Schedule 与 v5 记录来建立该 scope。已初始化的普通请求不再在 bootstrap 阶段额外加载这两类大数据。</w:t>
      </w:r>
    </w:p>
    <w:p>
      <w:r>
        <w:rPr>
          <w:b/>
        </w:rPr>
        <w:t>边界：</w:t>
      </w:r>
      <w:r>
        <w:t>新操作成功后仍会读取完整兼容投影并重建 Schedule，以维护 v4 投影版本、哈希与兼容读取语义。因此本次不是服务器全量重建成本的最终解决，也没有 Azure/PostgreSQL 生产负载数据。</w:t>
      </w:r>
    </w:p>
    <w:p>
      <w:pPr>
        <w:pStyle w:val="Heading1"/>
      </w:pPr>
      <w:r>
        <w:t>问题路径</w:t>
      </w:r>
    </w:p>
    <w:p>
      <w:r>
        <w:t>此前 bootstrapScopes() 在每个资源请求中先调用 readScheduleProjection()，该函数读取 legacy_sync_data.storage_value、投影头以及该用户全部 sync_v5_records。即使 scope 已存在、无需初始化，后续单条写入仍会在成功后再次读取同一投影来更新兼容头。于是初始化检查本身会造成一次无效的整对象与全记录扫描。</w:t>
      </w:r>
    </w:p>
    <w:p>
      <w:r>
        <w:t>这对大型旧 Schedule 的代价不应只用请求体大小推断：数据库返回 JSON 的物理/网络字节、缓存命中、TOAST 解压和执行时间都需要真实 PostgreSQL 指标。当前结论只涉及代码确定会发出的 SQL 查询路径。</w:t>
      </w:r>
    </w:p>
    <w:p>
      <w:pPr>
        <w:pStyle w:val="Heading1"/>
      </w:pPr>
      <w:r>
        <w:t>改动与安全性</w:t>
      </w:r>
    </w:p>
    <w:p>
      <w:r>
        <w:t>文件：azure/backend/sync-v5.mjs。bootstrapScopes() 仍先取得同一 advisory transaction lock，然后先查询 sync_v5_heads。pending scopes 为空时立即返回；存在待初始化 scope 时才读取 Schedule 投影、转换资源并写入记录。该函数的返回值在当前唯一调用点未被消费，因此已初始化分支返回 null 不改变 API 行为。</w:t>
      </w:r>
    </w:p>
    <w:p>
      <w:r>
        <w:t>锁保持在查询 scope 状态之前，避免并发首次 bootstrap 在检查与初始化之间产生竞态。没有改变 CAS 基准、operation id、receipt、记录哈希、事务提交顺序、v4 投影写入、灰度配置或 v5 默认关闭状态。</w:t>
      </w:r>
    </w:p>
    <w:p>
      <w:pPr>
        <w:pStyle w:val="Heading1"/>
      </w:pPr>
      <w:r>
        <w:t>自动化证据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EE1"/>
          <w:left w:val="single" w:sz="5" w:color="D9DEE1"/>
          <w:bottom w:val="single" w:sz="5" w:color="D9DEE1"/>
          <w:right w:val="single" w:sz="5" w:color="D9DEE1"/>
          <w:insideH w:val="single" w:sz="5" w:color="D9DEE1"/>
          <w:insideV w:val="single" w:sz="5" w:color="D9DEE1"/>
        </w:tblBorders>
        <w:tblCellMar>
          <w:top w:w="95" w:type="dxa"/>
          <w:start w:w="110" w:type="dxa"/>
          <w:bottom w:w="95" w:type="dxa"/>
          <w:end w:w="110" w:type="dxa"/>
        </w:tblCellMar>
      </w:tblPr>
      <w:tblGrid>
        <w:gridCol w:w="3331"/>
        <w:gridCol w:w="3331"/>
        <w:gridCol w:w="3331"/>
      </w:tblGrid>
      <w:tr>
        <w:tc>
          <w:tcPr>
            <w:tcW w:type="dxa" w:w="2376"/>
            <w:shd w:fill="34434B"/>
            <w:vAlign w:val="center"/>
          </w:tcPr>
          <w:p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2520"/>
            <w:shd w:fill="34434B"/>
            <w:vAlign w:val="center"/>
          </w:tcPr>
          <w:p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184"/>
            <w:shd w:fill="34434B"/>
            <w:vAlign w:val="center"/>
          </w:tcPr>
          <w:p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8"/>
              </w:rPr>
              <w:t>sync-v5 + compat 测试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13 / 13 通过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覆盖操作、回执、投影桥接、未知字段、路由与初始化读取次数。</w:t>
            </w:r>
          </w:p>
        </w:tc>
      </w:tr>
      <w:tr>
        <w:tc>
          <w:tcPr>
            <w:tcW w:type="dxa" w:w="2376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合成旧 Schedule</w:t>
            </w:r>
          </w:p>
        </w:tc>
        <w:tc>
          <w:tcPr>
            <w:tcW w:type="dxa" w:w="2520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约 200 KB JSON 字符串</w:t>
            </w:r>
          </w:p>
        </w:tc>
        <w:tc>
          <w:tcPr>
            <w:tcW w:type="dxa" w:w="5184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仅用于回归 fixture；不是生产账户数据，也不是 Azure 实测读字节。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8"/>
              </w:rPr>
              <w:t>旧版调用次数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Schedule 正文与全部 v5 记录读取各 2 次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bootstrap 一次，成功写入后的兼容投影一次。</w:t>
            </w:r>
          </w:p>
        </w:tc>
      </w:tr>
      <w:tr>
        <w:tc>
          <w:tcPr>
            <w:tcW w:type="dxa" w:w="2376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改后调用次数</w:t>
            </w:r>
          </w:p>
        </w:tc>
        <w:tc>
          <w:tcPr>
            <w:tcW w:type="dxa" w:w="2520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Schedule 正文与全部 v5 记录读取各 1 次</w:t>
            </w:r>
          </w:p>
        </w:tc>
        <w:tc>
          <w:tcPr>
            <w:tcW w:type="dxa" w:w="5184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保留写后投影；删去 bootstrap 冗余读取。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8"/>
              </w:rPr>
              <w:t>安全状态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v5 默认关闭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没有启用灰度，也没有触碰真实学习数据。</w:t>
            </w:r>
          </w:p>
        </w:tc>
      </w:tr>
    </w:tbl>
    <w:p>
      <w:pPr>
        <w:spacing w:after="20"/>
      </w:pPr>
    </w:p>
    <w:p>
      <w:r>
        <w:t>测试由 fake database adapter 统计实际 SQL 调用分布；此方法验证控制流回归，不模拟 PostgreSQL 查询计划、索引、并发、磁盘/网络读取或 Azure 服务耗时。</w:t>
      </w:r>
    </w:p>
    <w:p>
      <w:pPr>
        <w:pStyle w:val="Heading1"/>
      </w:pPr>
      <w:r>
        <w:t>仍未解决与风险</w:t>
      </w:r>
    </w:p>
    <w:p>
      <w:pPr>
        <w:pStyle w:val="ListBullet"/>
      </w:pPr>
      <w:r>
        <w:t>成功写入后 readScheduleProjection() 仍会读取 legacy Schedule 和该用户全部 v5 记录，并在内存中 merge；projectionBuildMs、projectionRecordCount 与 projectionBytes 不等同于数据库读取字节、buffer hit 或 CPU 成本。</w:t>
      </w:r>
    </w:p>
    <w:p>
      <w:pPr>
        <w:pStyle w:val="ListBullet"/>
      </w:pPr>
      <w:r>
        <w:t>一次资源写入仍可能与用户资源总数呈线性关系。现有证据不能证明每条 CUE 写入的 Azure SQL 成本已低于旧版，也不能证明 503 根因已消失。</w:t>
      </w:r>
    </w:p>
    <w:p>
      <w:pPr>
        <w:pStyle w:val="ListBullet"/>
      </w:pPr>
      <w:r>
        <w:t>Azure 数据库迁移状态、真实账号读写/回执/哈希重读、跨设备一致性和投影服务端耗时均未在本次确认。Vercel READY 或健康端点 200 不替代认证同步验收。</w:t>
      </w:r>
    </w:p>
    <w:p>
      <w:pPr>
        <w:pStyle w:val="ListBullet"/>
      </w:pPr>
      <w:r>
        <w:t>不能因为本次优化而扩大 v5 rollout。发生 v5 故障时，不应直接把待同步操作回退为旧快照全量覆盖。</w:t>
      </w:r>
    </w:p>
    <w:p>
      <w:pPr>
        <w:pStyle w:val="Heading1"/>
      </w:pPr>
      <w:r>
        <w:t>后续验收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EE1"/>
          <w:left w:val="single" w:sz="5" w:color="D9DEE1"/>
          <w:bottom w:val="single" w:sz="5" w:color="D9DEE1"/>
          <w:right w:val="single" w:sz="5" w:color="D9DEE1"/>
          <w:insideH w:val="single" w:sz="5" w:color="D9DEE1"/>
          <w:insideV w:val="single" w:sz="5" w:color="D9DEE1"/>
        </w:tblBorders>
        <w:tblCellMar>
          <w:top w:w="95" w:type="dxa"/>
          <w:start w:w="110" w:type="dxa"/>
          <w:bottom w:w="95" w:type="dxa"/>
          <w:end w:w="110" w:type="dxa"/>
        </w:tblCellMar>
      </w:tblPr>
      <w:tblGrid>
        <w:gridCol w:w="3331"/>
        <w:gridCol w:w="3331"/>
        <w:gridCol w:w="3331"/>
      </w:tblGrid>
      <w:tr>
        <w:tc>
          <w:tcPr>
            <w:tcW w:type="dxa" w:w="2016"/>
            <w:shd w:fill="34434B"/>
            <w:vAlign w:val="center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176"/>
            <w:shd w:fill="34434B"/>
            <w:vAlign w:val="center"/>
          </w:tcPr>
          <w:p>
            <w:r>
              <w:rPr>
                <w:b/>
                <w:color w:val="FFFFFF"/>
                <w:sz w:val="18"/>
              </w:rPr>
              <w:t>采集证据</w:t>
            </w:r>
          </w:p>
        </w:tc>
        <w:tc>
          <w:tcPr>
            <w:tcW w:type="dxa" w:w="3888"/>
            <w:shd w:fill="34434B"/>
            <w:vAlign w:val="center"/>
          </w:tcPr>
          <w:p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隔离 PostgreSQL 测试库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 migration、索引与种子规模；EXPLAIN (ANALYZE, BUFFERS)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sz w:val="18"/>
              </w:rPr>
              <w:t>结构正确，无意外全表扫描；保留基准环境与数据规模。</w:t>
            </w:r>
          </w:p>
        </w:tc>
      </w:tr>
      <w:tr>
        <w:tc>
          <w:tcPr>
            <w:tcW w:type="dxa" w:w="2016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单条 CUE 操作</w:t>
            </w:r>
          </w:p>
        </w:tc>
        <w:tc>
          <w:tcPr>
            <w:tcW w:type="dxa" w:w="4176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SQL 次数、returned rows/bytes、buffer hits/reads、投影耗时、响应大小</w:t>
            </w:r>
          </w:p>
        </w:tc>
        <w:tc>
          <w:tcPr>
            <w:tcW w:type="dxa" w:w="3888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与 3.44.4 同数据集比较；记录原始结果，不预设改善百分比。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v4/v5 往返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>
              <w:rPr>
                <w:sz w:val="18"/>
              </w:rPr>
              <w:t>v5 写后以 v4 读取；v4 合法写后 v5 读取；过期版本冲突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sz w:val="18"/>
              </w:rPr>
              <w:t>哈希对应正文；冲突不覆盖；默认关闭和回滚仍保留一致基准。</w:t>
            </w:r>
          </w:p>
        </w:tc>
      </w:tr>
      <w:tr>
        <w:tc>
          <w:tcPr>
            <w:tcW w:type="dxa" w:w="2016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受控生产测试账号</w:t>
            </w:r>
          </w:p>
        </w:tc>
        <w:tc>
          <w:tcPr>
            <w:tcW w:type="dxa" w:w="4176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认证读、一次写、receipt、重读哈希、另一设备读取</w:t>
            </w:r>
          </w:p>
        </w:tc>
        <w:tc>
          <w:tcPr>
            <w:tcW w:type="dxa" w:w="3888"/>
            <w:vAlign w:val="center"/>
            <w:shd w:fill="F1F5F6"/>
          </w:tcPr>
          <w:p>
            <w:pPr>
              <w:spacing w:after="40"/>
            </w:pPr>
            <w:r>
              <w:rPr>
                <w:sz w:val="18"/>
              </w:rPr>
              <w:t>只用测试账号与测试资源；可审计且不改真实学习数据。</w:t>
            </w:r>
          </w:p>
        </w:tc>
      </w:tr>
    </w:tbl>
    <w:p>
      <w:pPr>
        <w:spacing w:after="20"/>
      </w:pPr>
    </w:p>
    <w:p>
      <w:pPr>
        <w:pStyle w:val="Heading1"/>
      </w:pPr>
      <w:r>
        <w:t>发布与限制</w:t>
      </w:r>
    </w:p>
    <w:p>
      <w:r>
        <w:t>版本：3.47.2。v5 灰度仍由服务端按账号与 scope 控制，默认关闭。CI 后端测试和本地代码检查不能代替 Azure 迁移、认证生产写入与双设备验收。</w:t>
      </w:r>
    </w:p>
    <w:p>
      <w:r>
        <w:t>文档视觉检查：已用 DOCX 转 PNG 预览链路检查页图。当前环境没有 soffice.exe，内置 render_docx.py 无法完成原生 LibreOffice 渲染；因此本次页图来自 Edge HTML 预览，不应视为 Word/LibreOffice 等价渲染。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3.47.2  |  2026-10-26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8636A"/>
        <w:sz w:val="16"/>
      </w:rPr>
      <w:t>JACKYUN  /  SYNC ENGINEERING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2D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 初始化读取优化：实施与验证记录</dc:title>
  <dc:subject>JackYun portal 3.47.2 sync performance evidence</dc:subject>
  <dc:creator>JackYun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