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JackYun 本机空值恢复与批量冲突处理</w:t>
      </w:r>
    </w:p>
    <w:p>
      <w:pPr>
        <w:keepLines/>
        <w:spacing w:after="140" w:line="290"/>
      </w:pPr>
      <w:r>
        <w:t xml:space="preserve">版本 3.51.0  日期 2026 年 10 月 27 日</w:t>
      </w:r>
    </w:p>
    <w:p>
      <w:pPr>
        <w:keepLines/>
        <w:spacing w:after="140" w:line="290"/>
      </w:pPr>
      <w:r>
        <w:t xml:space="preserve">本次从与远端一致的 main 34a253691c36e68badf3e45d5d2cd84736c46dd5 开始，依据用户日志修复 CUE 长地址失败，以及本机清空为 NULL 后已有云端基线却不恢复的问题。新增全部使用云端和全部使用本地按钮，按新功能规则升级次版本。不修改 Supabase 或 Azure 数据库结构，不清空用户队列。</w:t>
      </w:r>
    </w:p>
    <w:p>
      <w:pPr>
        <w:pStyle w:val="Heading1"/>
        <w:keepNext/>
      </w:pPr>
      <w:r>
        <w:t xml:space="preserve">已确认的故障</w:t>
      </w:r>
    </w:p>
    <w:p>
      <w:pPr>
        <w:keepLines/>
        <w:spacing w:after="140" w:line="290"/>
      </w:pPr>
      <w:r>
        <w:t xml:space="preserve">用户日志含 142 次 v2、129 次 v5 changes、30 次 records 和 30 次 manifest 完成请求记录。一次 cueReviews 请求携带大量复合 ID，地址被入口返回 HTTP 414，随后同步报告响应格式无效。这是软件故障，不是 VPN 地区选择能消除的问题。</w:t>
      </w:r>
    </w:p>
    <w:p>
      <w:pPr>
        <w:keepLines/>
        <w:spacing w:after="140" w:line="290"/>
      </w:pPr>
      <w:r>
        <w:t xml:space="preserve">三次 v5 能力查询约耗时 15.7、27.6、35.6 秒；设置页操作多次 500，最慢约 152 秒。Vercel 运行日志确认设置页失败来自 Azure 不可用或 HTTP 503，不是成功的无变化结果。不能凭这些日志断言 PostgreSQL 内部根因，也不宣称本次前端修复解决全部 503。SEIUE Token 到期 401 则属于独立关联服务。</w:t>
      </w:r>
    </w:p>
    <w:p>
      <w:pPr>
        <w:pStyle w:val="Heading1"/>
        <w:keepNext/>
      </w:pPr>
      <w:r>
        <w:t xml:space="preserve">空值恢复与续传</w:t>
      </w:r>
    </w:p>
    <w:p>
      <w:pPr>
        <w:keepLines/>
        <w:spacing w:after="140" w:line="290"/>
      </w:pPr>
      <w:r>
        <w:t xml:space="preserve">旧逻辑在已有 v5 游标而本机 Schedule 为 NULL 或字段缺失时，可能把缺失推断为删除；changes 返回空列表时又不重建字段，导致游标一致不等于本机完整。现在整体 null、JSON null 和缺失字段不生成整批删除。明确单项删除及存在的空集合仍遵守原操作规则。</w:t>
      </w:r>
    </w:p>
    <w:p>
      <w:pPr>
        <w:keepLines/>
        <w:spacing w:after="140" w:line="290"/>
      </w:pPr>
      <w:r>
        <w:t xml:space="preserve">每个订阅字段即使没有新增量，也从已确认资源基线与未确认操作重建投影，资源、正文和游标继续事务提交。无变化检查不再重复拉取同一字段，实际上传或回执确认后仍保留写后拉取。合成夹具中热同步由 3 次请求减为 2 次，首次由 5 次减为 4 次，单条修改仍为 5 次；不是生产延迟承诺。</w:t>
      </w:r>
    </w:p>
    <w:p>
      <w:pPr>
        <w:keepLines/>
        <w:spacing w:after="140" w:line="290"/>
      </w:pPr>
      <w:r>
        <w:t xml:space="preserve">正文读取同时限制每批 100 个 ID 和编码后的 URL 3500 字符。全部正文版本与 SHA-256 验证通过后才提交页面。失败后从保存的 after 和 head 续传已落盘基线；云端 head 改变时只允许一次有界重建，不拼接不一致快照。</w:t>
      </w:r>
    </w:p>
    <w:p>
      <w:pPr>
        <w:pStyle w:val="Heading1"/>
        <w:keepNext/>
      </w:pPr>
      <w:r>
        <w:t xml:space="preserve">批量冲突选择</w:t>
      </w:r>
    </w:p>
    <w:p>
      <w:pPr>
        <w:keepLines/>
        <w:spacing w:after="140" w:line="290"/>
      </w:pPr>
      <w:r>
        <w:t xml:space="preserve">按钮只在同步中心存在冲突时出现，显示数量并二次确认，包含内容与删除状态的替换。范围在点击时固定，同时覆盖旧协议和 v5；确认期间新出现的冲突不自动纳入。全部使用本地对旧协议采用完整本机结果，不再误走三方自动合并的 local 路径。</w:t>
      </w:r>
    </w:p>
    <w:p>
      <w:pPr>
        <w:keepLines/>
        <w:spacing w:after="140" w:line="290"/>
      </w:pPr>
      <w:r>
        <w:t xml:space="preserve">整批在现有账号隔离及跨标签页锁内顺序执行。旧协议仍复核云端版本与本机快照，v5 复核冲突及实际资源；关键事务再比较冲突与文档快照。变更项目拒绝覆盖，其他项目可继续，失败项目保留并报告数量。写作远端选择沿用保留更新草稿的事务。批量不是跨资源数据库全有或全无事务，也不跳过条件写入和幂等回执。</w:t>
      </w:r>
    </w:p>
    <w:p>
      <w:pPr>
        <w:pStyle w:val="Heading1"/>
        <w:keepNext/>
      </w:pPr>
      <w:r>
        <w:t xml:space="preserve">测试和验收边界</w:t>
      </w:r>
    </w:p>
    <w:p>
      <w:pPr>
        <w:keepLines/>
        <w:spacing w:after="140" w:line="290"/>
      </w:pPr>
      <w:r>
        <w:t xml:space="preserve">专项覆盖长复合 ID 地址上限、中断后不重下已提交页面；NULL 和缺失字段在空增量下恢复且不发删除；混合协议完整本机选择、明确 null 删除、顺序执行及部分失败；事务发现更新后拒绝消费冲突。完整同步回归、构建和浏览器按钮测试结果以随发布提交的证据为准。</w:t>
      </w:r>
    </w:p>
    <w:p>
      <w:pPr>
        <w:keepLines/>
        <w:spacing w:after="140" w:line="290"/>
      </w:pPr>
      <w:r>
        <w:t xml:space="preserve">发布核对 main SHA、Vercel READY 和健康端点，并用专用账号验真实页面与 NULL 恢复。浏览器夹具不等同真实账号或手机。实体手机当前不可用，完整离线冲突、最新全用户备份恢复对账及 Azure 503 内部根因仍不在本次通过范围，不将整体 v5 标为完成。</w:t>
      </w:r>
    </w:p>
    <w:sectPr>
      <w:pgSz w:w="11906" w:h="16838" w:orient="portrait"/>
      <w:pgMar w:top="10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Microsoft YaHei" w:cs="Microsoft YaHei" w:eastAsia="Microsoft YaHei" w:hAnsi="Microsoft YaHei"/>
      <w:b/>
      <w:bCs/>
      <w:color w:val="000000"/>
      <w:sz w:val="34"/>
      <w:szCs w:val="34"/>
    </w:rPr>
  </w:style>
  <w:style w:type="paragraph" w:styleId="Heading1">
    <w:name w:val="Heading 1"/>
    <w:basedOn w:val="Normal"/>
    <w:pPr>
      <w:keepNext/>
      <w:spacing w:after="120" w:before="200"/>
    </w:pPr>
    <w:rPr>
      <w:rFonts w:ascii="Microsoft YaHei" w:cs="Microsoft YaHei" w:eastAsia="Microsoft YaHei" w:hAnsi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2026-10-27T12:23:55.524Z</dcterms:created>
  <dcterms:modified xsi:type="dcterms:W3CDTF">2026-10-27T12:23:55.526Z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