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同步暂停功能说明</w:t>
      </w:r>
    </w:p>
    <w:p>
      <w:pPr>
        <w:spacing w:after="240"/>
      </w:pPr>
      <w:r>
        <w:rPr>
          <w:color w:val="5A6470"/>
          <w:sz w:val="20"/>
        </w:rPr>
        <w:t>JACKYUN 学习门户 · 版本 3.61.0 · 2026 年 10 月 29 日</w:t>
      </w:r>
    </w:p>
    <w:p>
      <w:pPr>
        <w:spacing w:after="180"/>
      </w:pPr>
      <w:r>
        <w:t>本说明记录同步中心新增的短时暂停控制、自动恢复规则、本机数据保护边界及交付验证。用户可在同步中心暂停自动同步 15 或 30 分钟；暂停结束后调度器自动恢复，期间新增修改继续保存在本机并等待后续处理。</w:t>
      </w:r>
    </w:p>
    <w:tbl>
      <w:tblPr>
        <w:tblStyle w:val="TableGrid"/>
        <w:tblW w:type="auto" w:w="0"/>
        <w:jc w:val="center"/>
        <w:tblLook w:firstColumn="1" w:firstRow="1" w:lastColumn="0" w:lastRow="0" w:noHBand="0" w:noVBand="1" w:val="04A0"/>
      </w:tblPr>
      <w:tblGrid>
        <w:gridCol w:w="2088"/>
        <w:gridCol w:w="8208"/>
      </w:tblGrid>
      <w:tr>
        <w:tc>
          <w:tcPr>
            <w:tcW w:type="dxa" w:w="2088"/>
            <w:vAlign w:val="center"/>
            <w:shd w:fill="E8EEF5"/>
          </w:tcPr>
          <w:p>
            <w:pPr>
              <w:spacing w:after="20"/>
            </w:pPr>
            <w:r/>
            <w:r>
              <w:rPr>
                <w:rFonts w:ascii="Aptos" w:hAnsi="Aptos" w:eastAsia="Microsoft YaHei"/>
                <w:b/>
                <w:color w:val="000000"/>
                <w:sz w:val="18"/>
              </w:rPr>
              <w:t>基线版本</w:t>
            </w:r>
          </w:p>
        </w:tc>
        <w:tc>
          <w:tcPr>
            <w:tcW w:type="dxa" w:w="8208"/>
            <w:vAlign w:val="center"/>
          </w:tcPr>
          <w:p>
            <w:pPr>
              <w:spacing w:after="20"/>
            </w:pPr>
            <w:r/>
            <w:r>
              <w:rPr>
                <w:rFonts w:ascii="Aptos" w:hAnsi="Aptos" w:eastAsia="Microsoft YaHei"/>
                <w:b w:val="0"/>
                <w:color w:val="000000"/>
                <w:sz w:val="18"/>
              </w:rPr>
              <w:t>GitHub Main：3.60.5（提交 4fee31ae2adc4861f1bf741152e45b97fc8ba105）</w:t>
            </w:r>
          </w:p>
        </w:tc>
      </w:tr>
      <w:tr>
        <w:tc>
          <w:tcPr>
            <w:tcW w:type="dxa" w:w="2088"/>
            <w:vAlign w:val="center"/>
            <w:shd w:fill="E8EEF5"/>
          </w:tcPr>
          <w:p>
            <w:pPr>
              <w:spacing w:after="20"/>
            </w:pPr>
            <w:r/>
            <w:r>
              <w:rPr>
                <w:rFonts w:ascii="Aptos" w:hAnsi="Aptos" w:eastAsia="Microsoft YaHei"/>
                <w:b/>
                <w:color w:val="000000"/>
                <w:sz w:val="18"/>
              </w:rPr>
              <w:t>目标版本</w:t>
            </w:r>
          </w:p>
        </w:tc>
        <w:tc>
          <w:tcPr>
            <w:tcW w:type="dxa" w:w="8208"/>
            <w:vAlign w:val="center"/>
          </w:tcPr>
          <w:p>
            <w:pPr>
              <w:spacing w:after="20"/>
            </w:pPr>
            <w:r/>
            <w:r>
              <w:rPr>
                <w:rFonts w:ascii="Aptos" w:hAnsi="Aptos" w:eastAsia="Microsoft YaHei"/>
                <w:b w:val="0"/>
                <w:color w:val="000000"/>
                <w:sz w:val="18"/>
              </w:rPr>
              <w:t>3.61.0（新增同步中心暂停控制，按版本规则提升中间位）</w:t>
            </w:r>
          </w:p>
        </w:tc>
      </w:tr>
      <w:tr>
        <w:tc>
          <w:tcPr>
            <w:tcW w:type="dxa" w:w="2088"/>
            <w:vAlign w:val="center"/>
            <w:shd w:fill="E8EEF5"/>
          </w:tcPr>
          <w:p>
            <w:pPr>
              <w:spacing w:after="20"/>
            </w:pPr>
            <w:r/>
            <w:r>
              <w:rPr>
                <w:rFonts w:ascii="Aptos" w:hAnsi="Aptos" w:eastAsia="Microsoft YaHei"/>
                <w:b/>
                <w:color w:val="000000"/>
                <w:sz w:val="18"/>
              </w:rPr>
              <w:t>作用范围</w:t>
            </w:r>
          </w:p>
        </w:tc>
        <w:tc>
          <w:tcPr>
            <w:tcW w:type="dxa" w:w="8208"/>
            <w:vAlign w:val="center"/>
          </w:tcPr>
          <w:p>
            <w:pPr>
              <w:spacing w:after="20"/>
            </w:pPr>
            <w:r/>
            <w:r>
              <w:rPr>
                <w:rFonts w:ascii="Aptos" w:hAnsi="Aptos" w:eastAsia="Microsoft YaHei"/>
                <w:b w:val="0"/>
                <w:color w:val="000000"/>
                <w:sz w:val="18"/>
              </w:rPr>
              <w:t>当前浏览器的当前账号；同一浏览器的其他标签页共享暂停状态，不影响其他设备。</w:t>
            </w:r>
          </w:p>
        </w:tc>
      </w:tr>
      <w:tr>
        <w:tc>
          <w:tcPr>
            <w:tcW w:type="dxa" w:w="2088"/>
            <w:vAlign w:val="center"/>
            <w:shd w:fill="E8EEF5"/>
          </w:tcPr>
          <w:p>
            <w:pPr>
              <w:spacing w:after="20"/>
            </w:pPr>
            <w:r/>
            <w:r>
              <w:rPr>
                <w:rFonts w:ascii="Aptos" w:hAnsi="Aptos" w:eastAsia="Microsoft YaHei"/>
                <w:b/>
                <w:color w:val="000000"/>
                <w:sz w:val="18"/>
              </w:rPr>
              <w:t>暂停选项</w:t>
            </w:r>
          </w:p>
        </w:tc>
        <w:tc>
          <w:tcPr>
            <w:tcW w:type="dxa" w:w="8208"/>
            <w:vAlign w:val="center"/>
          </w:tcPr>
          <w:p>
            <w:pPr>
              <w:spacing w:after="20"/>
            </w:pPr>
            <w:r/>
            <w:r>
              <w:rPr>
                <w:rFonts w:ascii="Aptos" w:hAnsi="Aptos" w:eastAsia="Microsoft YaHei"/>
                <w:b w:val="0"/>
                <w:color w:val="000000"/>
                <w:sz w:val="18"/>
              </w:rPr>
              <w:t>15 分钟或 30 分钟；可手动提前恢复。到期后自动失效并由常规调度继续处理。</w:t>
            </w:r>
          </w:p>
        </w:tc>
      </w:tr>
    </w:tbl>
    <w:p>
      <w:pPr>
        <w:pStyle w:val="Heading1"/>
      </w:pPr>
      <w:r>
        <w:t>需求与操作方式</w:t>
      </w:r>
    </w:p>
    <w:p>
      <w:r>
        <w:t>同步中心在“立即同步”旁增加“暂停 15 分钟”和“暂停 30 分钟”操作。启用后显示剩余时间和“恢复同步”按钮；倒计时按本机时间戳计算，因此刷新页面或重新打开门户后仍能显示正确状态。暂停状态按账号写入浏览器本机存储，并通过浏览器 storage 事件让同浏览器的其他标签页同步状态。</w:t>
      </w:r>
    </w:p>
    <w:p>
      <w:r>
        <w:t>暂停针对自动调度入口生效，包括工作区数据、离线任务与复习队列，以及自动备份。用户仍可点击“立即同步”主动提前核对和上传；冲突解决等明确的用户操作也继续执行。暂停时已经发出的网络请求不会被强制中断，会先结束，再阻止后续自动任务。</w:t>
      </w:r>
    </w:p>
    <w:p>
      <w:pPr>
        <w:pStyle w:val="Heading1"/>
      </w:pPr>
      <w:r>
        <w:t>调度与本机数据保护</w:t>
      </w:r>
    </w:p>
    <w:p>
      <w:r>
        <w:t>统一同步调度器在获取同步租约及调用具体队列处理前读取本机暂停截止时间。暂停只影响自动同步，不删除队列、不清理回执、不改变冲突选择，也不写入云端设置；到期后调度器按既有可见页面轮询和重试时间表恢复。</w:t>
      </w:r>
    </w:p>
    <w:p>
      <w:r>
        <w:t>本机编辑、导入、恢复点和离线操作仍走现有本机持久化路径。暂停期间产生的待办仍留在本机队列，恢复后由原有同步机制继续处理。因此暂停并不代表云端已确认，也不改变已有冲突策略。</w:t>
      </w:r>
    </w:p>
    <w:p>
      <w:pPr>
        <w:pStyle w:val="Heading1"/>
      </w:pPr>
      <w:r>
        <w:t>变更文件</w:t>
      </w:r>
    </w:p>
    <w:p>
      <w:pPr>
        <w:pStyle w:val="ListBullet"/>
      </w:pPr>
      <w:r>
        <w:t>src/lib/sync/pause.ts：提供账号范围的暂停时间读取、设置、恢复及跨标签页事件。</w:t>
      </w:r>
    </w:p>
    <w:p>
      <w:pPr>
        <w:pStyle w:val="ListBullet"/>
      </w:pPr>
      <w:r>
        <w:t>src/lib/sync/scheduler.ts：所有非手动同步通道统一检查暂停状态；用户显式触发可覆盖暂停。</w:t>
      </w:r>
    </w:p>
    <w:p>
      <w:pPr>
        <w:pStyle w:val="ListBullet"/>
      </w:pPr>
      <w:r>
        <w:t>src/components/settings/sync-center-panel.tsx：增加 15 / 30 分钟按钮、倒计时和提前恢复操作。</w:t>
      </w:r>
    </w:p>
    <w:p>
      <w:pPr>
        <w:pStyle w:val="ListBullet"/>
      </w:pPr>
      <w:r>
        <w:t>src/lib/update-history.ts、package.json、package-lock.json：登记 3.61.0 版本与更新说明。</w:t>
      </w:r>
    </w:p>
    <w:p>
      <w:pPr>
        <w:pStyle w:val="Heading1"/>
      </w:pPr>
      <w:r>
        <w:t>校验与交付记录</w:t>
      </w:r>
    </w:p>
    <w:p>
      <w:pPr>
        <w:pStyle w:val="ListBullet"/>
      </w:pPr>
      <w:r>
        <w:t>基于最新可读取的 GitHub Main 3.60.5 开始实现；开发分支 codex/sync-pause-3.61.0。</w:t>
      </w:r>
    </w:p>
    <w:p>
      <w:pPr>
        <w:pStyle w:val="ListBullet"/>
      </w:pPr>
      <w:r>
        <w:t>定向 ESLint 检查通过；Next.js webpack 生产构建通过，包含 TypeScript 校验和 98 个静态页面生成。</w:t>
      </w:r>
    </w:p>
    <w:p>
      <w:pPr>
        <w:pStyle w:val="ListBullet"/>
      </w:pPr>
      <w:r>
        <w:t>代码合并到 Main：待完成。</w:t>
      </w:r>
    </w:p>
    <w:p>
      <w:pPr>
        <w:pStyle w:val="ListBullet"/>
      </w:pPr>
      <w:r>
        <w:t>生产部署及 jackyun.top 实际发布状态：待部署后核验。</w:t>
      </w:r>
    </w:p>
    <w:p>
      <w:r>
        <w:t>部署核验将以生产部署状态为 READY、部署源码提交与 Main 合并提交一致、生产别名已绑定为依据。生产构建就绪只证明发布流程成功；本机账号的跨设备实际数据读回仍须按真实账户验收。</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680"/>
        <w:sz w:val="16"/>
      </w:rPr>
      <w:t>JACKYUN · 同步系统变更记录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