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Azure直接切换与数据库访问改造实施说明</w:t>
      </w:r>
    </w:p>
    <w:p>
      <w:r>
        <w:t>版本 3.21.3候选   更新日期 2026年10月8日   当前状态 配套逻辑已安装 网站尚未切换</w:t>
      </w:r>
    </w:p>
    <w:p>
      <w:r>
        <w:t>本说明记录JackYun从Supabase同步迁移到Azure的当前实施状态、接入步骤、验收条件及回退方法。按用户最新授权，以Azure已经迁移的数据作为基线，放弃上次迁移后Supabase新增、修改和删除的数据，取消最终追平。设备随后通过正常同步补回本地数据；设备未保留的变化可能无法恢复。</w:t>
      </w:r>
    </w:p>
    <w:p>
      <w:pPr>
        <w:pStyle w:val="Heading1"/>
      </w:pPr>
      <w:r>
        <w:t>一 当前成果与尚未完成的事项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实际状态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初始迁移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83张应用表、8个账号及30个文件已有迁移记录。文件大小合计24882492字节；这不是所有应用已切换的证明。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Azure后台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Functions 3.21.3候选已部署，存活接口200；未登录同步、导出及备份标记接口401。真实用户读写仍待验证。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真实登录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本轮浏览器登录已成功进入jackyun.top/dashboard，生产页面仍为3.21.2且显示6项同步失败。没有把登录成功写成Azure读写成功。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源端配套逻辑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四项生产迁移已安装。源控制仍为supabase，7个配套RPC已存在；authenticated不能直接读取私有恢复任务。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切换工具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已新增显式接受Azure基线模式，保留目标五表数据，仍要求鉴权、隔离和目标备份证据。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当前阻碍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目标库管理员密码未保存在代理进程中，需要用户运行本机隐藏输入命令，取得Azure备份及实际恢复结果。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正式切换</w:t>
            </w:r>
          </w:p>
        </w:tc>
        <w:tc>
          <w:tcPr>
            <w:tcW w:type="dxa" w:w="79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尚未冻结生产源同步，尚未配置生产AZURE_SYNC_API_URL，尚未开始24小时观察。</w:t>
            </w:r>
          </w:p>
        </w:tc>
      </w:tr>
    </w:tbl>
    <w:p/>
    <w:p>
      <w:r>
        <w:t>第二阶段统一访问层和通知轮询优化尚未开始。文档中本机测试、真实登录、候选部署和正式接通分别记录，不相互替代。</w:t>
      </w:r>
    </w:p>
    <w:p>
      <w:pPr>
        <w:pStyle w:val="Heading1"/>
        <w:pageBreakBefore/>
      </w:pPr>
      <w:r>
        <w:t>二 数据范围与来源</w:t>
      </w:r>
    </w:p>
    <w:p>
      <w:r>
        <w:t>本次只切换五张同步表：web_sync_devices、legacy_sync_data、sync_operations、sync_conflicts、web_sync_upload_chunks。Azure现有同步记录、版本号、操作去重记录、设备状态及删除标记作为基线保留，不执行源端TRUNCATE复制或业务增量追平。</w:t>
      </w:r>
    </w:p>
    <w:p>
      <w:r>
        <w:t>Supabase继续负责登录和现有业务表；账号即时状态来自经验证的用户令牌所能读取的权威profiles记录。源端不可用时受保护操作拒绝访问。Azure数据库自己的身份检查仍保留，不能用放弃业务增量的授权取消封禁、删除或用户隔离。</w:t>
      </w:r>
    </w:p>
    <w:p>
      <w:r>
        <w:t>业务数据和备份历史暂留Supabase，备份协调RPC用同一已验证用户的Azure同步快照生成合并备份。自动备份通过双方代次和源端提交回执确认，不能先删除Azure标记后保存历史。整页恢复使用持久任务、恢复前检查点、固定操作ID和版本校验；跨两个数据库的流程不宣称单个分布式事务。</w:t>
      </w:r>
    </w:p>
    <w:p>
      <w:r>
        <w:t>文件应用接入、Entra、Passkeys、通知后台及其他平台功能继续在路线图中。本次五表接通不代表全部数据库或身份平台迁移完成。</w:t>
      </w:r>
    </w:p>
    <w:p>
      <w:pPr>
        <w:pStyle w:val="Heading1"/>
      </w:pPr>
      <w:r>
        <w:t>三 凭据与权限</w:t>
      </w:r>
    </w:p>
    <w:p>
      <w:r>
        <w:t>密码只通过本机命令文件的隐藏输入读取，不放入聊天、参数、源码、DOCX或Git。进程结束清除密码；私有备份目录权限700，备份和报告权限600。TLS要求可信CA并验证主机证书。</w:t>
      </w:r>
    </w:p>
    <w:p>
      <w:r>
        <w:t>后台使用既有普通登录身份和jackyun_sync_runtime，保留连接池上限4、事务内JWT上下文及每用户写入锁。备份标记只增加两个受身份检查的RPC执行权限，不授予运行身份新的私有表直接访问。</w:t>
      </w:r>
    </w:p>
    <w:p>
      <w:pPr>
        <w:pStyle w:val="Heading1"/>
        <w:pageBreakBefore/>
      </w:pPr>
      <w:r>
        <w:t>四 直接切换执行步骤</w:t>
      </w:r>
    </w:p>
    <w:p>
      <w:r>
        <w:t>1 保护Azure基线。运行scripts/azure-baseline-prepare.command，只输入Azure数据库管理员密码。工具不访问Supabase，备份public、auth和jackyun_private，在本机仅Unix套接字的隔离PostgreSQL实际恢复，并比较全部恢复表计数和内容指纹。目标在备份期间变化则拒绝通过。</w:t>
      </w:r>
    </w:p>
    <w:p>
      <w:r>
        <w:t>2 安装Azure备份标记。恢复验证成功后安装sync-backup-markers.sql；完整已安装则核查运行身份执行权限，半安装状态拒绝继续。保留安装前备份供回退。</w:t>
      </w:r>
    </w:p>
    <w:p>
      <w:r>
        <w:t>3 完成真实身份与数据验收。使用真实账号检查Azure读取、提交和读回；用临时普通账号检查隔离、设备撤销和账号状态。合成用户测试不能替代此项。</w:t>
      </w:r>
    </w:p>
    <w:p>
      <w:r>
        <w:t>4 演练回退。隔离环境验证旧同步冻结、Azure新增更新删除的回灌、权限和触发器恢复，以及提交确认丢失时保持围栏。目标备份实际恢复和回退演练都要留下证据。</w:t>
      </w:r>
    </w:p>
    <w:p>
      <w:r>
        <w:t>5 暂停旧写入。暂停相关任务，源控制行先取写锁排空旧备份调用，再锁五表，安装ALWAYS语句级写入围栏并保存原ACL。源不可访问时只可关闭网站路由并如实记录数据库冻结未完成；当前源数据库连接可用，应执行数据库围栏。</w:t>
      </w:r>
    </w:p>
    <w:p>
      <w:r>
        <w:t>6 接通网站。正式配置AZURE_SYNC_API_URL并发布到jackyun.top。新版及旧页面兼容接口使用Azure；失败保留本地队列，不转写旧库。</w:t>
      </w:r>
    </w:p>
    <w:p>
      <w:r>
        <w:t>7 观察与收尾。保存接通时间、实际提交及读回结果；至少24小时检查旧写入、错误、数据丢失和隔离。代码合并main后同步本机。</w:t>
      </w:r>
    </w:p>
    <w:p>
      <w:pPr>
        <w:pStyle w:val="Heading1"/>
      </w:pPr>
      <w:r>
        <w:t>五 模式与证据接口</w:t>
      </w:r>
    </w:p>
    <w:p>
      <w:r>
        <w:t>azure-sync-cutover.mjs默认只读；--preflight --accept-azure-baseline只检查结构与账号，不比较源业务内容。--apply --accept-azure-baseline要求私有证据包含mode=accept-azure-baseline、discardSourceIncrement=true及backupRestoreDrill=true。此模式免除sourceBackup文件，但仍校验targetBackup、liveReport及rollbackReport的文件权限、SHA256、24小时有效期和目标数据库。</w:t>
      </w:r>
    </w:p>
    <w:p>
      <w:r>
        <w:t>执行结果增加mode、discardSourceIncrement和targetSyncDataPreserved；migratedSyncTables为0，fingerprintsMatch为null，避免将未执行的两端一致性检查写为通过。网站部署是后续独立动作，工具结果websiteSwitched仍为false。</w:t>
      </w:r>
    </w:p>
    <w:p>
      <w:pPr>
        <w:pStyle w:val="Heading1"/>
        <w:pageBreakBefore/>
      </w:pPr>
      <w:r>
        <w:t>六 配套数据库迁移与兼容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生产迁移版本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20261008014421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azure_sync_backup_bridge  合并源业务与Azure同步快照，检查账号、页面、所有权和载荷边界。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20261008014435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azure_automatic_backup_coordination  新代次、自动备份回执及提交证明，重试不会重复计数或清除较新变化。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20261008014450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guard_legacy_backup_source  保存旧实现、增加源控制和旧备份公共入口保护，切换前仍允许原路由。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20261008014506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azure_page_restore_coordination  持久恢复任务、重试操作ID、恢复前检查点和31表业务恢复。</w:t>
            </w:r>
          </w:p>
        </w:tc>
      </w:tr>
    </w:tbl>
    <w:p/>
    <w:p>
      <w:r>
        <w:t>本地迁移文件版本已与生产实际迁移历史对齐，避免未来重复执行。新增私有表开启RLS且无直接用户授权；公共RPC只授予authenticated并在函数内检查当前用户、账号状态和数据归属。安全审阅中的私有表无策略提示是默认拒绝的预期；既有管理员函数及其他原有警告不写为已修复。</w:t>
      </w:r>
    </w:p>
    <w:p>
      <w:r>
        <w:t>兼容接口包括/api/sync/v2、/api/sync/v2/large、/api/sync/devices、/api/sync/conflicts和/api/legacy-sync；新增导出及备份标记接口保留身份上下文。普通导出分页，中文及emoji大值通过受限分块读取和SHA256核对，变更期间重读不能拼接不同版本。</w:t>
      </w:r>
    </w:p>
    <w:p>
      <w:pPr>
        <w:pStyle w:val="Heading1"/>
      </w:pPr>
      <w:r>
        <w:t>七 设备重新连接与旧记录</w:t>
      </w:r>
    </w:p>
    <w:p>
      <w:r>
        <w:t>设备保留本地队列和数据。重新连接以Azure当前版本为基线，处理旧baseRevision及已存在operationId，必要时读回当前云端结果再重新提交。重复确认不能确认其他key；已应用操作重试不重复写入，也不能把旧远端结果作为当前记录。</w:t>
      </w:r>
    </w:p>
    <w:p>
      <w:r>
        <w:t>正常同步保留客户端更新时间和删除语义。空或格式错误的日程不能覆盖已有日程；不能为了设备覆盖旧数据而关闭空数据保护。恢复类写入使用当前版本与内容哈希比较，较新变化触发冲突而不是无条件覆盖。</w:t>
      </w:r>
    </w:p>
    <w:p>
      <w:pPr>
        <w:pStyle w:val="Heading1"/>
        <w:pageBreakBefore/>
      </w:pPr>
      <w:r>
        <w:t>八 测试矩阵与实际验收状态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4032"/>
        <w:gridCol w:w="3312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本轮证据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生产状态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自己的账号登录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浏览器进入dashboard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已通过登录；Azure读写未验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JWT签名及当前封禁状态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后台16项测试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真实状态验收待完成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双用户隔离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本机31表及两库SDK测试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两真实账号待完成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设备撤销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本机/既有演练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本轮真实设备待完成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并发重复提交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SDK与操作ID回归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生产待完成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离线恢复和账号切换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队列及传输回归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浏览器待完成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删除后重新连接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围栏及反向复制演练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生产待完成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中文emoji大值分块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同步73项回归与两库SDK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生产待完成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旧页面兼容入口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代理及接口回归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正式路由待完成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不追平保留Azure五表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新基线单元测试及真实本机SQL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生产冻结待完成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31表14页业务恢复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实际目录结构与8项自然键重建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Azure快照为空的矩阵；非全页生产验收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实际备份恢复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新目标基线命令已准备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等待用户隐藏输入运行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全站lint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16错误1警告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未通过；不得记为通过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生产构建及TypeScript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本轮执行成功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通过构建，不代表生产接通</w:t>
            </w:r>
          </w:p>
        </w:tc>
      </w:tr>
    </w:tbl>
    <w:p/>
    <w:p>
      <w:r>
        <w:t>切换工具与备份诊断共14项测试通过，73项同步回归、16项后台测试通过。TypeScript及密钥检查通过，生产构建完成。全站lint的既有16个错误包括Link用法、effect状态设置和测试any类型，1项未用变量警告；本次改动文件单独lint通过。</w:t>
      </w:r>
    </w:p>
    <w:p>
      <w:pPr>
        <w:pStyle w:val="Heading1"/>
        <w:pageBreakBefore/>
      </w:pPr>
      <w:r>
        <w:t>九 回退与提交失败处理</w:t>
      </w:r>
    </w:p>
    <w:p>
      <w:r>
        <w:t>目标写入启用前可恢复网站部署及记录的源ACL，但必须确认尚无Azure新写入。目标已产生新写入后不能直接重新开放源入口；先冻结Azure、保存新变化和删除，再在源恢复可用后反向回灌并核对。</w:t>
      </w:r>
    </w:p>
    <w:p>
      <w:r>
        <w:t>反向复制保留源端权威账号状态，不使用Azure旧资料覆盖封禁。两边保持围栏，只有数据核对及路由决策完成后才能恢复一个写入口。源恢复失败时网站保留待同步队列；后台只读与队列提示不能被当成成功写入。</w:t>
      </w:r>
    </w:p>
    <w:p>
      <w:r>
        <w:t>目标提交后证据保存失败报告COMMITTED_EVIDENCE_FAILED，不能声称回滚。提交响应丢失报告COMMIT_OUTCOME_UNKNOWN并保持冻结。恢复源授权失败报告SOURCE_RECOVERY_REQUIRED。遇到这些情况先核查实际状态，再决定恢复，不靠重跑盲目修改。</w:t>
      </w:r>
    </w:p>
    <w:p>
      <w:pPr>
        <w:pStyle w:val="Heading1"/>
      </w:pPr>
      <w:r>
        <w:t>十 已部署包与恢复依据</w:t>
      </w:r>
    </w:p>
    <w:p>
      <w:r>
        <w:t>Functions候选部署ID为34b46769-7ec3-4039-8a8e-219aa19a8109。候选包SHA256为5d99493b1a22fde2613fe1e4da68621bdf417ecc42d5b67ee2822f996592f3a9。恢复包基于远端main的acaa314构建，SHA256为c73ae7894a64b772c1b4e312dd539486eebb8edb7f6d80923384b3f2c8f12920；不宣称它是下载的原在线包。两包均保存在本机私有目录。</w:t>
      </w:r>
    </w:p>
    <w:p>
      <w:r>
        <w:t>本轮已创建仅针对现有切换分支的Vercel预览变量。生产变量尚未启用，因此创建预览或合并准备代码不能写成正式数据库切换。</w:t>
      </w:r>
    </w:p>
    <w:p>
      <w:pPr>
        <w:pStyle w:val="Heading1"/>
      </w:pPr>
      <w:r>
        <w:t>十一 观察要求</w:t>
      </w:r>
    </w:p>
    <w:p>
      <w:r>
        <w:t>接通时刻作为24小时观察起点。确认新版和兼容接口均只写Azure，源五表不再变化，失败请求保留本地队列，账号状态来源不可用时拒绝访问。观察发现异常按上述冻结与回灌程序处理。</w:t>
      </w:r>
    </w:p>
    <w:p>
      <w:pPr>
        <w:pStyle w:val="Heading1"/>
        <w:pageBreakBefore/>
      </w:pPr>
      <w:r>
        <w:t>十二 日志统计与第二阶段改造</w:t>
      </w:r>
    </w:p>
    <w:p>
      <w:r>
        <w:t>用户提供的1000条日志覆盖北京时间10月7日23时41分34秒至23时51分05秒，约9分31秒。账号资料257次、Auth校验242次、通知已读234次、公告227次，前四项合计960次。日志包含Auth、REST及平台记录，不能等同1000次SQL查询，也不能据此确定设备数。原始私人日志不上传仓库。</w:t>
      </w:r>
    </w:p>
    <w:p>
      <w:r>
        <w:t>第一阶段验收后再实施统一请求上下文和数据访问层。同一请求复用已验证身份和查询结果，不跨用户共享会话客户端；即时封禁和管理权限保持权威检查。通知使用统一快照，公告、横幅、未读数量及收件箱共享读取结果，历史记录分页加载。</w:t>
      </w:r>
    </w:p>
    <w:p>
      <w:r>
        <w:t>移除无关storage事件触发；相关已读操作先更新本地并合并刷新。每个账号在同一浏览器由一个标签页负责60秒轮询；隐藏、休眠或离线暂停，恢复只补一次，不并发重入。逐项检查设置、客服、阅读、扩展、后台及同步的定时器、订阅清理和重试。</w:t>
      </w:r>
    </w:p>
    <w:p>
      <w:r>
        <w:t>保留Azure连接池、事务、身份上下文、写入锁和必要分块；合并重复初始化查询。记录请求ID、来源、刷新原因、后端调用与SQL次数、响应字节及耗时，不记录令牌或私人内容。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408"/>
      </w:tblGrid>
      <w:tr>
        <w:trPr>
          <w:cantSplit/>
          <w:tblHeader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性能目标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before="60" w:after="60"/>
            </w:pPr>
            <w:r>
              <w:rPr>
                <w:b/>
                <w:sz w:val="18"/>
              </w:rPr>
              <w:t>验收方法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前台一小时快照请求不超过65次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同一设备静置；多标签页不倍增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四类高频调用下降至少80%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固定同一操作脚本前后对比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无刷新循环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连续修改无关本地存储；切页、重挂载及已读操作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及时性与权限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before="60" w:after="60"/>
            </w:pPr>
            <w:r>
              <w:rPr>
                <w:b w:val="0"/>
                <w:sz w:val="18"/>
              </w:rPr>
              <w:t>新公告60秒内可见，本地已读立即反馈，封禁及隔离有效</w:t>
            </w:r>
          </w:p>
        </w:tc>
      </w:tr>
    </w:tbl>
    <w:p/>
    <w:p>
      <w:pPr>
        <w:pStyle w:val="Heading1"/>
        <w:pageBreakBefore/>
      </w:pPr>
      <w:r>
        <w:t>十三 仓库交付与发布顺序</w:t>
      </w:r>
    </w:p>
    <w:p>
      <w:r>
        <w:t>第一阶段沿用未发布的3.21.3候选，应用、APP_VERSION、后台包及锁文件一致；第二阶段预计3.22.0，发布前重新核查版本占用。按用户最新要求沿用已有切换分支，检查后合并main并同步本机，不增加无关分支。</w:t>
      </w:r>
    </w:p>
    <w:p>
      <w:r>
        <w:t>交付包含切换代码、配套迁移、测试、README、迁移记录及本DOCX。DOCX渲染后逐页检查；私有备份、数据库密码、可信CA本机文件、原始日志以及无关本机开发配置不进入提交。</w:t>
      </w:r>
    </w:p>
    <w:p>
      <w:r>
        <w:t>正式接通必须另附真实账号读写、源围栏及目标备份恢复证据。当前尚未取得这些结果，文档不填写切换时间、不标记第一阶段完成，也不把第二阶段性能目标写成达成。后续成功接通后更新本节及测试矩阵。</w:t>
      </w:r>
    </w:p>
    <w:p>
      <w:pPr>
        <w:pStyle w:val="Heading1"/>
      </w:pPr>
      <w:r>
        <w:t>十四 下一步可直接执行的操作</w:t>
      </w:r>
    </w:p>
    <w:p>
      <w:r>
        <w:t>用户在本机运行azure-baseline-prepare.command并隐藏输入Azure密码；代理随后读取私有报告，核验备份、恢复及目标标记接口结果。若恢复遇到缺失依赖或权限错误，保留保护备份和私有脱敏诊断，先修复隔离恢复流程，不能把pg_restore目录可读作为替代。</w:t>
      </w:r>
    </w:p>
    <w:p>
      <w:r>
        <w:t>目标准备通过后完成真实身份读写和隔离，记录冻结前配置与权限，冻结旧同步并启用网站生产变量；浏览器提交并重新读回Azure数据。最后记录观察起点、合并发布和本机同步结果。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2026年10月8日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JackYun  Azure迁移实施记录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