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组件库更换计划与可行性报告</w:t>
      </w:r>
    </w:p>
    <w:p>
      <w:r>
        <w:t>2026 年 10 月 15 日  |  文档交付版本 3.24.4</w:t>
      </w:r>
    </w:p>
    <w:p>
      <w:r>
        <w:t>建议执行渐进式组件迁移，首选 shadcn/ui 组件源码配合 Radix 交互基础，保留 Next.js 与 React。项目已有 React、Tailwind 和 CSS 主题变量，具备接入条件；主要风险集中在主题适配、旧页面和复杂业务交互，而非必须重写整站。</w:t>
      </w:r>
    </w:p>
    <w:p>
      <w:pPr>
        <w:pStyle w:val="Heading1"/>
      </w:pPr>
      <w:r>
        <w:t>决策结论</w:t>
      </w:r>
    </w:p>
    <w:p>
      <w:r>
        <w:t>技术接入可行性较高，迁移成本可控，但“换库后一定更快”尚不能成立。组件库可以统一按钮、弹窗、菜单和标签页的行为；页面等待网络数据、同步脚本阻塞以及大组件更新，需要在同一计划里分别处理。</w:t>
      </w:r>
    </w:p>
    <w:p>
      <w:r>
        <w:t>推荐先做常用操作的第一批迁移，再扩展到主要 React 页面。不要一开始替换所有控件，也不要只更换圆角、阴影和配色。交付目标是点击立即有反馈、面板快速打开、任务不中断和状态一致。</w:t>
      </w:r>
    </w:p>
    <w:p>
      <w:pPr>
        <w:pStyle w:val="Heading1"/>
      </w:pPr>
      <w:r>
        <w:t>范围与投入</w:t>
      </w:r>
    </w:p>
    <w:p>
      <w:r>
        <w:t>第一批包括基础按钮与输入、弹窗和抽屉、标签页，以及首页入口、侧栏和工具箱的高频操作。按一名熟悉项目的前端工程师估算，第一批约 7 至 12 个工作日；主要 React 界面约 15 至 25 个工作日。旧 HTML 业务模块另估 8 至 20 个工作日以上，需先盘点再承诺。上述为规划估算，不是测试结论或交付承诺。</w:t>
      </w:r>
    </w:p>
    <w:p>
      <w:pPr>
        <w:pStyle w:val="Heading1"/>
      </w:pPr>
      <w:r>
        <w:t>可行性证据与边界</w:t>
      </w:r>
    </w:p>
    <w:p>
      <w:r>
        <w:t>本次以源码审阅和官方文档核对支持计划判断。当前 src/components 下共有 195 个文件；用弹窗语义或全屏定位特征筛出 29 个候选文件，仅供估算，不能等同于 29 个真实弹窗或迁移组件数。</w:t>
      </w:r>
    </w:p>
    <w:p>
      <w:r>
        <w:t>本次按用户最新要求只提交计划与报告，不交付迁移实现。尚未完成安装兼容性验证、生产构建、业务回归或真实设备性能测试。精确依赖版本和性能收益须在实施第一阶段确认。</w:t>
      </w:r>
    </w:p>
    <w:p>
      <w:r>
        <w:br w:type="page"/>
      </w:r>
    </w:p>
    <w:p>
      <w:pPr>
        <w:pStyle w:val="Heading1"/>
      </w:pPr>
      <w:r>
        <w:t>组件库选型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候选方案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项目适配判断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代价与建议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shadcn/ui 加 Radix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与现有 Tailwind 和自定义主题接近，适合逐个迁移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首选。需要维护纳入仓库的组件源码及统一样式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Ant Design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适合表格、筛选、复杂表单密集的管理页面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备选。需要统一设计语言并处理样式顺序和服务端样式接入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MUI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适合希望采用一致 Material 风格的整套界面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备选。需增加 App Router 样式集成并重做现有主题映射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只用 Radix Primitives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可统一弹窗与菜单等行为，样式高度自由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可行但基础视觉仍需大量自建，不如首选方案直接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更换为其他前端框架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改变组件体系，业务层迁移范围大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暂不建议，缺少必须重写 React 的依据</w:t>
            </w:r>
          </w:p>
        </w:tc>
      </w:tr>
    </w:tbl>
    <w:p>
      <w:pPr>
        <w:pStyle w:val="Heading2"/>
      </w:pPr>
      <w:r>
        <w:t>为什么推荐 shadcn/ui</w:t>
      </w:r>
    </w:p>
    <w:p>
      <w:r>
        <w:t>shadcn/ui 提供可放进项目自行维护的组件源码和分发方式，严格说并非传统的封闭 npm 组件库。它适合把现有散落的界面实现收敛为 src/components/ui 下的统一组件，并保留产品自己的外观。Radix 负责所选组件的交互基础。</w:t>
      </w:r>
    </w:p>
    <w:p>
      <w:r>
        <w:t>本计划统一选择 Radix 路线，不在首批混入多套交互原语。按钮、卡片等基础元素不需要全部依赖 Radix；动画先采用少量 CSS transform 与 opacity，不把 Motion 或大型动效系统作为前置条件。</w:t>
      </w:r>
    </w:p>
    <w:p>
      <w:pPr>
        <w:pStyle w:val="Heading2"/>
      </w:pPr>
      <w:r>
        <w:t>选型的适用条件</w:t>
      </w:r>
    </w:p>
    <w:p>
      <w:r>
        <w:t>首选方案适用于继续保留当前学习门户的轻量设计和渐进迁移。如果目标改为整站采用标准后台风格，且表格、筛选和表单占主导，Ant Design 的优先级可以提高。MUI 则适合明确选择 Material 视觉规范的情况。</w:t>
      </w:r>
    </w:p>
    <w:p>
      <w:r>
        <w:t>官方文档支持 Next.js 接入和渐进采用，因此架构上存在明确路径；这不代表已经验证当前精确版本组合、全部旧样式或每个业务页面。</w:t>
      </w:r>
    </w:p>
    <w:p>
      <w:r>
        <w:br w:type="page"/>
      </w:r>
    </w:p>
    <w:p>
      <w:pPr>
        <w:pStyle w:val="Heading1"/>
      </w:pPr>
      <w:r>
        <w:t>兼容性与迁移前置条件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现状或风险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接入处理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实施阶段通过标准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Next.js 16.3.8 与 React 19.2.8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仅交互基础组件标记 use client，保留服务端页面边界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生产构建通过，无新增 hydration 或 hooks 错误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Tailwind CSS 3.4.17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优先保留 v3，人工核对生成源码；不能直接套用只适用 v4 的样式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选定组件在 v3 下完整生成样式，无缺失 utility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data-theme 与 darkMode media 并存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把 light gray dark 三种主题映射到同一套 token 与选择器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三主题下按钮、浮层和输入状态一致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主题变量已有十六进制颜色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映射到组件 token，避免直接套 hsl(var()) 等不兼容形式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常态、悬停、选中、禁用、聚焦颜色均正常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Dialog Portal 通常挂到 body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主题 token 放在根级，统一浮层层级；核对全屏容器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全屏、手机键盘和多层弹窗不丢失或遮挡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旧 HTML 使用 iframe 和注入桥接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新库只覆盖 React 区域，旧模块逐个迁移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iframe 内外的存储、消息和焦点链路保持有效</w:t>
            </w:r>
          </w:p>
        </w:tc>
      </w:tr>
    </w:tbl>
    <w:p>
      <w:pPr>
        <w:pStyle w:val="Heading2"/>
      </w:pPr>
      <w:r>
        <w:t>不把 Tailwind 升级绑定到换库</w:t>
      </w:r>
    </w:p>
    <w:p>
      <w:r>
        <w:t>shadcn 当前文档覆盖 Tailwind 4 与 React 19，同时说明已有 Tailwind 3 应用可保留原配置。项目实际为 Tailwind 3 配合 React 19，因此需要逐项检查生成源码和依赖，而不能把两个独立兼容声明当作精确组合已通过。若遇 v4 专属能力，先做兼容适配，必要时改用直接封装 Radix；Tailwind 大升级单独评估。</w:t>
      </w:r>
    </w:p>
    <w:p>
      <w:pPr>
        <w:pStyle w:val="Heading2"/>
      </w:pPr>
      <w:r>
        <w:t>数据与权限边界</w:t>
      </w:r>
    </w:p>
    <w:p>
      <w:r>
        <w:t>首批替换展示与交互层，沿用现有服务端动作及数据契约。弹窗可先呈现外壳，权限内容仍在授权确认后展示；保存动作可提供忙碌和可恢复状态，不能用成功动画替代真实保存结果。</w:t>
      </w:r>
    </w:p>
    <w:p>
      <w:r>
        <w:br w:type="page"/>
      </w:r>
    </w:p>
    <w:p>
      <w:pPr>
        <w:pStyle w:val="Heading1"/>
      </w:pPr>
      <w:r>
        <w:t>分阶段实施计划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阶段与预计投入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具体工作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交付与放行条件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阶段零  1 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锁定页面范围、依赖路线和样式规则，录制当前高频操作基线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迁移清单、版本锁定方案和基线记录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阶段一  2 至 3 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建立 Button Input Dialog Sheet Tabs Select Skeleton 等基础组件，适配三主题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独立样板与构建检查通过，基础行为统一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阶段二  3 至 5 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迁移工具箱、常见弹窗、首页入口和导航反馈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形成第一批可体验版本，用户完成真实操作对比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阶段三  4 至 7 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迁移日程、Cue、设置的高频控件，按需拆开重面板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学习、计时、保存和快捷键回归通过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阶段四  2 至 4 日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清理重复样式、核对依赖体积并完成移动端和离线回归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主要 React 界面统一，遗留项有明确清单</w:t>
            </w:r>
          </w:p>
        </w:tc>
      </w:tr>
    </w:tbl>
    <w:p>
      <w:r>
        <w:t>上述合计 12 至 20 人日，加约 20% 的集成缓冲，按 15 至 25 个工作日安排主要 React 界面。第一批为阶段零至二，计 6 至 9 人日，含缓冲约 7 至 12 个工作日。估算假设单人熟悉项目、设计方向稳定、外部服务无新增改造；实施期间出现新需求应调整范围和日期。</w:t>
      </w:r>
    </w:p>
    <w:p>
      <w:pPr>
        <w:pStyle w:val="Heading2"/>
      </w:pPr>
      <w:r>
        <w:t>先迁哪些真实位置</w:t>
      </w:r>
    </w:p>
    <w:p>
      <w:r>
        <w:t>tools/tools-tabs.tsx 先统一标签切换；layout/sidebar.tsx 与 product-card.tsx 统一导航反馈；support-conversation-dialog.tsx 等常用浮层统一打开、关闭与焦点行为。之后再进入 settings 和 schedule 的复杂流程。</w:t>
      </w:r>
    </w:p>
    <w:p>
      <w:pPr>
        <w:pStyle w:val="Heading2"/>
      </w:pPr>
      <w:r>
        <w:t>旧 HTML 页面另开迁移批次</w:t>
      </w:r>
    </w:p>
    <w:p>
      <w:r>
        <w:t>MockPortal、TimetableHub 等旧页面涉及内嵌脚本和存储桥接，应按用户任务逐个拆出 React 界面，保留数据兼容与恢复路径。不要用全局替换按钮标签的方式迁移。所需 8 至 20 个工作日以上为粗估，不包含在主要 React 界面的 15 至 25 日内。</w:t>
      </w:r>
    </w:p>
    <w:p>
      <w:r>
        <w:br w:type="page"/>
      </w:r>
    </w:p>
    <w:p>
      <w:pPr>
        <w:pStyle w:val="Heading1"/>
      </w:pPr>
      <w:r>
        <w:t>把使用舒服写成具体交付要求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用户操作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目标体验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实现约束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按按钮或打开菜单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按下立即有反馈，动作只执行一次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统一 active focus pending disabled；防重复提交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打开弹窗或侧边面板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先看到面板，再等待内部内容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本地打开状态与请求解耦，慢请求可取消或重试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切换本地标签页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迅速出现对应内容，避免整个页面闪白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状态就近管理；耗时子面板按需加载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跳转常用页面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点击立即显示导航状态，尽早出现可用主体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有限预取、局部 loading、分阶段展示数据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保存或批量操作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知道是否保存，失败后能继续编辑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保留输入和本地草稿，不提前假报云端成功</w:t>
            </w:r>
          </w:p>
        </w:tc>
      </w:tr>
      <w:tr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触屏与键盘操作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手指好点、焦点可见，关闭后回到触发位置</w:t>
            </w:r>
          </w:p>
        </w:tc>
        <w:tc>
          <w:tcPr>
            <w:tcW w:type="dxa" w:w="32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常用触控目标建议至少 44 CSS px；测试 Esc 与 Tab</w:t>
            </w:r>
          </w:p>
        </w:tc>
      </w:tr>
    </w:tbl>
    <w:p>
      <w:pPr>
        <w:pStyle w:val="Heading2"/>
      </w:pPr>
      <w:r>
        <w:t>建议的性能验收目标</w:t>
      </w:r>
    </w:p>
    <w:p>
      <w:r>
        <w:t>把按钮按下到可见反馈的 P95 目标设为不高于 100 ms；轻量本地弹窗或标签切换到可用内容的 P95 目标设为不高于 200 ms。重面板和网络完整内容分别制定目标，不能用空壳出现时间替代业务完成时间。以上均是未来验收目标，尚未实测。</w:t>
      </w:r>
    </w:p>
    <w:p>
      <w:r>
        <w:t>标准过渡先控制在约 120 至 200 ms，不让等待动画阻止操作。系统减少动态效果设置和页面级关闭动效选项继续生效。卡顿应先移除主线程阻塞，不能靠拉长动画掩盖。</w:t>
      </w:r>
    </w:p>
    <w:p>
      <w:pPr>
        <w:pStyle w:val="Heading2"/>
      </w:pPr>
      <w:r>
        <w:t>为什么计划里保留导航与数据优化</w:t>
      </w:r>
    </w:p>
    <w:p>
      <w:r>
        <w:t>现有侧栏与首页入口关闭自动预取，部分页面主体返回前需要身份或统计数据。即使替换所有按钮，这些等待依然存在。因此将导航反馈、按需预取和局部加载作为换库验收的一部分，同时独立记录其收益，避免把所有改善归功于组件库。</w:t>
      </w:r>
    </w:p>
    <w:p>
      <w:r>
        <w:br w:type="page"/>
      </w:r>
    </w:p>
    <w:p>
      <w:pPr>
        <w:pStyle w:val="Heading1"/>
      </w:pPr>
      <w:r>
        <w:t>风险控制与验收方法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主要风险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只换外观，使用仍不顺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先对照真实任务演示打开、切换、保存、恢复，再扩展页面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新旧主题与全局样式冲突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统一 token 和层级，限定旧样式作用范围，分批清理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全屏或嵌套浮层出现焦点问题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明确 Portal 容器，测试 Esc 关闭顺序、焦点返回和滚动锁定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迁移影响计时、快捷键或草稿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先包展示层，保留业务数据契约，逐个验证学习流程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依赖和首屏脚本变大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按组件引入，记录路由压缩 JS 体积，不允许无说明的持续增长</w:t>
            </w:r>
          </w:p>
        </w:tc>
      </w:tr>
      <w:tr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源码复制后维护分散</w:t>
            </w:r>
          </w:p>
        </w:tc>
        <w:tc>
          <w:tcPr>
            <w:tcW w:type="dxa" w:w="487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基础组件统一出口，业务页禁止复制第二套基础控件，保留上游版本记录</w:t>
            </w:r>
          </w:p>
        </w:tc>
      </w:tr>
    </w:tbl>
    <w:p>
      <w:pPr>
        <w:pStyle w:val="Heading2"/>
      </w:pPr>
      <w:r>
        <w:t>实施时的验证矩阵</w:t>
      </w:r>
    </w:p>
    <w:p>
      <w:r>
        <w:t>至少覆盖 Windows 的 Chromium 浏览器、Android Chrome 和 iOS Safari 的真实设备；桌面鼠标与键盘、手机触控分别验证。逐一检查 light gray dark、减少动效、全屏、手机软键盘、正常网络、慢网络、断网恢复以及已登录和本机模式。缺少某种设备就记录未验证，不能用桌面模拟代替全部真机结论。</w:t>
      </w:r>
    </w:p>
    <w:p>
      <w:r>
        <w:t>在生产构建上固定账号、数据规模和设备，对每个重点动作至少测试 20 次，比较中位数和 P95，同时记录请求耗时与浏览器长任务。20 次用于工程对比；正式 INP 应结合真实访问数据的第 75 百分位观察，良好目标为不高于 200 ms。</w:t>
      </w:r>
    </w:p>
    <w:p>
      <w:pPr>
        <w:pStyle w:val="Heading2"/>
      </w:pPr>
      <w:r>
        <w:t>分批发布与回退</w:t>
      </w:r>
    </w:p>
    <w:p>
      <w:r>
        <w:t>在现有 main 上按可独立回退的小批次提交，先替换一个完整操作流程，再推广。保留原业务数据格式，每批次发布前验证草稿和计时记录可恢复。若出现保存异常、关键快捷键失效、全屏浮层不可用等问题，回退对应 UI 批次，并保留已生成的用户数据。</w:t>
      </w:r>
    </w:p>
    <w:p>
      <w:r>
        <w:t>第一批的继续条件是：构建与关键回归通过、三主题一致、常见操作有可感知改善。若仅外观变化或体积成本明显增加而无实际改善，停在第一批重新定位原因，不按原计划机械替换整站。</w:t>
      </w:r>
    </w:p>
    <w:p>
      <w:r>
        <w:br w:type="page"/>
      </w:r>
    </w:p>
    <w:p>
      <w:pPr>
        <w:pStyle w:val="Heading1"/>
      </w:pPr>
      <w:r>
        <w:t>执行建议与资料依据</w:t>
      </w:r>
    </w:p>
    <w:p>
      <w:r>
        <w:t>建议采用本计划，先批准首批范围和体验目标，再按阶段推进。主要界面统一后，可以显著降低“同样的操作在不同页面手感不同”的问题；能改善多少真实响应速度，应由基线和首批对比决定。无需把换 Node.js、换 React 或全站重写作为前置任务。</w:t>
      </w:r>
    </w:p>
    <w:p>
      <w:pPr>
        <w:pStyle w:val="Heading2"/>
      </w:pPr>
      <w:r>
        <w:t>规划版本安排</w:t>
      </w:r>
    </w:p>
    <w:p>
      <w:r>
        <w:t>本次只有计划与报告交付，按既有规则把元数据补丁版本从 3.24.3 更新到 3.24.4。实施时引入统一 UI 系统属于新模块，届时按当时 main 的版本升级中间位，不提前占用版本。后续纯修复升级补丁位；只有平台级重构才升级第一位。</w:t>
      </w:r>
    </w:p>
    <w:p>
      <w:pPr>
        <w:pStyle w:val="Heading2"/>
      </w:pPr>
      <w:r>
        <w:t>本次仓库核对</w:t>
      </w:r>
    </w:p>
    <w:p>
      <w:r>
        <w:t>开始时成功读取远程 main，本机与 origin/main 提交均为 7a68ddd，提交差异为 0 和 0。工作区原有未提交内容保留；本次仅提交报告、生成源、说明和版本字段。正式迁移尚未启动，计划中的样板、构建和回归均为后续工作。</w:t>
      </w:r>
    </w:p>
    <w:p>
      <w:pPr>
        <w:pStyle w:val="Heading2"/>
      </w:pPr>
      <w:r>
        <w:t>官方资料</w:t>
      </w:r>
    </w:p>
    <w:p>
      <w:r>
        <w:t>shadcn 定位与源码维护  https://ui.shadcn.com/docs</w:t>
      </w:r>
    </w:p>
    <w:p>
      <w:r>
        <w:t>shadcn 的 Next.js 接入  https://ui.shadcn.com/docs/installation/next</w:t>
      </w:r>
    </w:p>
    <w:p>
      <w:r>
        <w:t>Tailwind 版本适配说明  https://ui.shadcn.com/docs/tailwind-v4</w:t>
      </w:r>
    </w:p>
    <w:p>
      <w:r>
        <w:t>Radix 渐进采用与样式职责  https://www.radix-ui.com/primitives/docs/overview/introduction</w:t>
      </w:r>
    </w:p>
    <w:p>
      <w:r>
        <w:t>Radix 服务端渲染  https://www.radix-ui.com/primitives/docs/guides/server-side-rendering</w:t>
      </w:r>
    </w:p>
    <w:p>
      <w:r>
        <w:t>Ant Design 的 Next.js 接入  https://ant.design/docs/react/use-with-next/</w:t>
      </w:r>
    </w:p>
    <w:p>
      <w:r>
        <w:t>MUI 的 Next.js 接入  https://mui.com/material-ui/integrations/nextjs/</w:t>
      </w:r>
    </w:p>
    <w:p>
      <w:r>
        <w:t>Next.js 预取与导航  https://nextjs.org/docs/app/getting-started/linking-and-navigating</w:t>
      </w:r>
    </w:p>
    <w:p>
      <w:r>
        <w:t>INP 的定义和阈值  https://web.dev/articles/inp</w:t>
      </w:r>
    </w:p>
    <w:p>
      <w:pPr>
        <w:pStyle w:val="Heading2"/>
      </w:pPr>
      <w:r>
        <w:t>源码审阅位置</w:t>
      </w:r>
    </w:p>
    <w:p>
      <w:r>
        <w:t>jackyun-portal/package.json；tailwind.config.ts；src/components/theme-provider.tsx；src/components/layout/sidebar.tsx；src/components/modules/product-card.tsx；src/components/modules/tools/tools-tabs.tsx；src/components/modules/legacy-frame.tsx；src/app/(portal) 下的首页和日程页面。以上为当前本机代码，部分含原有未提交改动。</w:t>
      </w:r>
    </w:p>
    <w:sectPr w:rsidR="00FC693F" w:rsidRPr="0006063C" w:rsidSect="00034616">
      <w:pgSz w:w="11906" w:h="16838"/>
      <w:pgMar w:top="992" w:right="1077" w:bottom="99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