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同步核心恢复机制改造说明</w:t>
      </w:r>
    </w:p>
    <w:p>
      <w:pPr>
        <w:pStyle w:val="Subtitle"/>
      </w:pPr>
      <w:r>
        <w:t>JACKYUN 3.39.0   2026 年 10 月 23 日</w:t>
      </w:r>
    </w:p>
    <w:p>
      <w:r>
        <w:t>本次重点是同步逻辑和实现。参考成熟同步系统如何保存未确认操作、处理服务端回执和恢复中断进度，在现有修订号与哈希协议上补齐持久化发送日志、跨刷新分片恢复及明确的业务合并规则。对比页面同步减少噪声，但它不是本次主要修复对象。</w:t>
      </w:r>
    </w:p>
    <w:p>
      <w:pPr>
        <w:pStyle w:val="Heading2"/>
      </w:pPr>
      <w:r>
        <w:t>现有实现的核心缺口</w:t>
      </w:r>
    </w:p>
    <w:p>
      <w:r>
        <w:t>待上传队列保存了最新本机意图，却没有单独保存已经发出的不可变请求。上传实际已提交、响应丢失后，如果用户继续编辑，队列可能用新操作身份替换旧内容。随后拉到自己刚上传的版本时，客户端缺少旧回执与新编辑之间的因果关系，可能把自己的写入误报成并发冲突。原有测试曾明确允许出现这种冲突，本次改为验证自动恢复和继续编辑。</w:t>
      </w:r>
    </w:p>
    <w:p>
      <w:r>
        <w:t>大记录下载此前只能在同一引擎实例中保存分片，整页刷新后会重新下载。普通字段合并又把课表条目的编辑时间当成内容冲突；两设备修改不同字段时，updatedAt 的差异仍可能挡住整份数据。对比展示上，200 项上限也可能先被自动差异占满，后面的真实分歧没有优先显示。</w:t>
      </w:r>
    </w:p>
    <w:p>
      <w:pPr>
        <w:pStyle w:val="Heading2"/>
      </w:pPr>
      <w:r>
        <w:t>参考其他同步系统的具体机制</w:t>
      </w:r>
    </w:p>
    <w:p>
      <w:r>
        <w:t>Replicache 将本机待确认修改与已经确认的服务端视图区分开，通过操作身份和明确确认避免重复执行，并在新服务端基线上重放后续本机修改。本次保留现有服务器操作回执协议，保存已经发出的精确请求，恢复确认后再重新建立后续修改的基线；没有声称移植了 Replicache 的完整协议或 lastMutationID 接口。</w:t>
      </w:r>
    </w:p>
    <w:p>
      <w:r>
        <w:t>CouchDB 的复制机制区分复制进度、内容版本和应用冲突。失败可以从已知进度继续，应用层仍需要决定哪些冲突可自动合并。本次将下载进度按记录、修订号和内容哈希保存；合并策略按已知字段含义登记，不能靠“最后修改时间较新”直接决定正文胜负。</w:t>
      </w:r>
    </w:p>
    <w:p>
      <w:pPr>
        <w:pStyle w:val="Heading2"/>
      </w:pPr>
      <w:r>
        <w:t>本次落地的判断依据</w:t>
      </w:r>
    </w:p>
    <w:p>
      <w:r>
        <w:t>请求身份与服务端回执用于确认提交因果；修订号、内容哈希和删除状态用于核对版本；共同基线与实际字段变化用于区分单侧修改、独立并发修改和真实分歧；稳定条目 ID 用于匹配记录；明确登记的元数据规则只处理已知的非正文信息。</w:t>
      </w:r>
    </w:p>
    <w:p>
      <w:r>
        <w:br w:type="page"/>
      </w:r>
    </w:p>
    <w:p>
      <w:pPr>
        <w:pStyle w:val="Heading1"/>
      </w:pPr>
      <w:r>
        <w:t>发送日志与确认恢复</w:t>
      </w:r>
    </w:p>
    <w:p>
      <w:pPr>
        <w:pStyle w:val="Heading2"/>
      </w:pPr>
      <w:r>
        <w:t>发送前先持久化精确请求</w:t>
      </w:r>
    </w:p>
    <w:p>
      <w:r>
        <w:t>新增 SyncSubmission，保存请求正文、发送时的操作快照和压缩协商状态。首次网络写入之前必须完成 IndexedDB 保存，包括大记录的第一片上传之前。发送记录保存失败时停止网络写入，避免出现服务端已提交而本机没有恢复依据的窗口。</w:t>
      </w:r>
    </w:p>
    <w:p>
      <w:r>
        <w:t>发送日志与可变的待上传队列分开。队列可以继续记录最新本机意图，日志中的操作 ID、请求正文和原始基线保持不变。网络失败、超时、取消、格式异常或哈希确认失败，都不能直接丢弃这份发送记录。</w:t>
      </w:r>
    </w:p>
    <w:p>
      <w:pPr>
        <w:pStyle w:val="Heading2"/>
      </w:pPr>
      <w:r>
        <w:t>恢复顺序</w:t>
      </w:r>
    </w:p>
    <w:p>
      <w:r>
        <w:t>1. 在拉取云端数据或处理人工合并之前，检查是否存在未确认发送记录。</w:t>
      </w:r>
    </w:p>
    <w:p>
      <w:r>
        <w:t>2. 有记录时，重放同一请求正文和操作 ID，使用服务端已有的幂等回执机制核对结果。客户端不会为了重试而换一个 ID，也不会把之后的新内容塞进旧 ID。</w:t>
      </w:r>
    </w:p>
    <w:p>
      <w:r>
        <w:t>3. 校验每条回执的键、修订号、内容哈希与发送快照。确认有效后，保存已知基线，并确认队列中对应的旧意图；若用户已有新编辑，旧回执不能把它删除，而是将它接到已确认版本上。</w:t>
      </w:r>
    </w:p>
    <w:p>
      <w:r>
        <w:t>4. 所有操作都有有效确认后才清除本次发送日志。若在保存元数据与确认队列之间中断，下一次仍可重放同一请求，恢复未完成的本机步骤。</w:t>
      </w:r>
    </w:p>
    <w:p>
      <w:r>
        <w:t>5. 再拉取其他设备的新变化，并用共同基线合并后续本机编辑。同一修订号出现不同哈希或删除状态时属于完整性异常，停止覆盖；旧回执也不能降低已经知道的云端版本。</w:t>
      </w:r>
    </w:p>
    <w:p>
      <w:pPr>
        <w:pStyle w:val="Heading2"/>
      </w:pPr>
      <w:r>
        <w:t>关键故障链路</w:t>
      </w:r>
    </w:p>
    <w:p>
      <w:r>
        <w:t>示例：基线正文为 A，本机上传 B，服务端成功但回执丢失；用户随后写成 C 并刷新。新流程先确认 B 的旧请求，再以 B 为基线保留 C，而不是把 B 当成另一个设备对 A 的改写。若期间另一个设备改了独立字段，该字段仍会参与合并。</w:t>
      </w:r>
    </w:p>
    <w:p>
      <w:r>
        <w:t>真实浏览器测试使用服务器提交后返回 503 模拟网关丢失有效回执，随后继续编辑并整页刷新。恢复时第一次与第二次发送正文完全相同，最终云端为新编辑；有效写入为两次，没有因回放增加重复写入。</w:t>
      </w:r>
    </w:p>
    <w:p>
      <w:pPr>
        <w:pStyle w:val="Heading2"/>
      </w:pPr>
      <w:r>
        <w:t>保留的服务器保护</w:t>
      </w:r>
    </w:p>
    <w:p>
      <w:r>
        <w:t>本次继续使用既有服务端事务、操作回执及修订号和哈希并发检查，没有改变数据库授权或放宽版本条件。真正的其他设备同字段编辑、删除与编辑冲突、无效确认，仍需要保留证据并停止不安全覆盖。</w:t>
      </w:r>
    </w:p>
    <w:p>
      <w:r>
        <w:br w:type="page"/>
      </w:r>
    </w:p>
    <w:p>
      <w:pPr>
        <w:pStyle w:val="Heading1"/>
      </w:pPr>
      <w:r>
        <w:t>下载恢复与业务合并规则</w:t>
      </w:r>
    </w:p>
    <w:p>
      <w:pPr>
        <w:pStyle w:val="Heading2"/>
      </w:pPr>
      <w:r>
        <w:t>逐片保存下载进度</w:t>
      </w:r>
    </w:p>
    <w:p>
      <w:r>
        <w:t>下载完成的分片先解码，再以记录键、修订号、哈希和分片序号保存到 IndexedDB。每片单独一行，避免每下载一片就重写整份大记录。新引擎或刷新后的页面只读取相同版本和哈希的缓存，补读缺失部分。</w:t>
      </w:r>
    </w:p>
    <w:p>
      <w:r>
        <w:t>缓存分片仅在收到后的 24 小时内参与续传，累计上限为 3200 万个 base64 字符。预算和分片写入在同一事务中更新，超过上限清理缓存，不影响发送日志或待上传队列。缓存存储暂不可用时允许退回内存下载；它是传输优化，不能让本来可校验的下载被缓存故障阻塞。</w:t>
      </w:r>
    </w:p>
    <w:p>
      <w:r>
        <w:t>所有片齐全后仍须完成 JSON 解码和最终 SHA-256 校验，之后才能进入本机备份与应用流程。缓存损坏或分片布局不一致时清理该记录缓存，保留本机原数据。版本变化不会混入旧片。成功校验后清理缓存。</w:t>
      </w:r>
    </w:p>
    <w:p>
      <w:pPr>
        <w:pStyle w:val="Heading2"/>
      </w:pPr>
      <w:r>
        <w:t>明确登记的自动合并</w:t>
      </w:r>
    </w:p>
    <w:p>
      <w:r>
        <w:t>默认三方合并继续处理单侧修改、独立对象字段及按稳定 ID 匹配的条目。新增元数据策略只适用于 jackyun_schedule_control_v1 下已知条目数组的 updatedAt：cues、cueMemos、manualTasks 和 learningRecords。共同基线和两侧值都须为可解析日期，两侧不能早于基线，才按日期归并编辑时间。</w:t>
      </w:r>
    </w:p>
    <w:p>
      <w:r>
        <w:t>这条策略只合并编辑元数据。即使一台设备时间为 2999 年，也不能因此让它的正文、答案、学习结果、复习计划、计时控制权或删除操作覆盖另一台。未知数据键、未知结构、无效日期和倒退日期不套用该规则。</w:t>
      </w:r>
    </w:p>
    <w:p>
      <w:r>
        <w:t>已有冲突在新引擎启动时重新评估一次；可依据新规则安全消除的元数据冲突会自动进入确认流程。没有旧发送日志的历史操作，不能凭猜测倒推出服务端回执，因此不会把过去所有冲突一键抹掉。</w:t>
      </w:r>
    </w:p>
    <w:p>
      <w:pPr>
        <w:pStyle w:val="Heading2"/>
      </w:pPr>
      <w:r>
        <w:t>对比只突出真正待决定的内容</w:t>
      </w:r>
    </w:p>
    <w:p>
      <w:r>
        <w:t>比较引擎使用同一合并策略计算“自动处理”和“需要选择”，默认只显示后者。真实分歧优先进入最多 200 项的显示队列，并保留总数统计，避免后面的冲突被普通差异挤掉。真实分歧没有选择完时，不能按默认本机值直接提交；整份本机、云端或导入文件仍可作为明确的完整结果。</w:t>
      </w:r>
    </w:p>
    <w:p>
      <w:r>
        <w:t>CUE 名称使用实际 schema 中的 prompt，并附科目和单元；复习间隔、评分点等字段使用可读名称。对象内容和结果预览先展示业务摘要，原始 JSON 放入高级查看。</w:t>
      </w:r>
    </w:p>
    <w:p>
      <w:r>
        <w:br w:type="page"/>
      </w:r>
    </w:p>
    <w:p>
      <w:pPr>
        <w:pStyle w:val="Heading1"/>
      </w:pPr>
      <w:r>
        <w:t>验证证据与适用边界</w:t>
      </w:r>
    </w:p>
    <w:p>
      <w:pPr>
        <w:pStyle w:val="Heading2"/>
      </w:pPr>
      <w:r>
        <w:t>已执行的检查</w:t>
      </w:r>
    </w:p>
    <w:p>
      <w:r>
        <w:t>完整同步回归 163 项通过。新增 13 项协议恢复测试覆盖真实 IndexedDB 模块重开、丢回执后继续编辑、保存发送记录失败、无效回执、确认步骤中断、跨引擎分片续读、缓存损坏、缓存写失败、并行分片保存、元数据合并、同版本哈希异常以及显示上限之后的真实冲突。</w:t>
      </w:r>
    </w:p>
    <w:p>
      <w:r>
        <w:t>24 轮确定性的两设备故障序列交替修改独立字段，并按固定间隔注入已提交回执丢失、新编辑和引擎重启。每轮检查两设备无伪冲突、云端内容包含双方最新字段，且内容哈希一致。这是明确的故障序列验证，不等同于无限状态空间的形式化证明。</w:t>
      </w:r>
    </w:p>
    <w:p>
      <w:r>
        <w:t>6 条浏览器流程使用实际同步中心、协调组件、合并引擎、IndexedDB 和真实页面刷新，覆盖逐项选择、本机完整结果、文件导入、对比过期、重连续提交，以及“已提交回执丢失后继续编辑再整页刷新”的恢复。身份和云端为本机测试服务，没有改写真实账号数据。</w:t>
      </w:r>
    </w:p>
    <w:p>
      <w:r>
        <w:t>变更文件通过 ESLint，并以精确待提交文件导出独立发布快照完成 Next.js 生产构建。说明、测试日志和浏览器结果随 main 提交，发布后核对该提交对应的 Vercel 生产部署及正式域名版本。</w:t>
      </w:r>
    </w:p>
    <w:p>
      <w:pPr>
        <w:pStyle w:val="Heading2"/>
      </w:pPr>
      <w:r>
        <w:t>仍然存在的边界</w:t>
      </w:r>
    </w:p>
    <w:p>
      <w:r>
        <w:t>尚未完成两台物理设备、真实账号和长时间弱网运行的完整联调。本次强化现有协议，不承诺与长期运营验证过的商业同步系统具有同等成熟度。网络、代理和数据库服务仍可能失败，目标是失败后有可靠恢复依据。</w:t>
      </w:r>
    </w:p>
    <w:p>
      <w:r>
        <w:t>现有大课表仍以聚合记录同步；服务端增量变化流、按业务实体拆分云端记录、后台推送和长期故障统计不属于本次已实现功能。进入持久化发送队列之前的人工预览选择仍不承诺跨刷新保留。</w:t>
      </w:r>
    </w:p>
    <w:p>
      <w:pPr>
        <w:pStyle w:val="Heading2"/>
      </w:pPr>
      <w:r>
        <w:t>参考资料</w:t>
      </w:r>
    </w:p>
    <w:p>
      <w:r>
        <w:t>Replicache 操作与确认：</w:t>
      </w:r>
      <w:hyperlink r:id="rId9">
        <w:r>
          <w:t>https://doc.replicache.dev/concepts/how-it-works</w:t>
        </w:r>
      </w:hyperlink>
    </w:p>
    <w:p>
      <w:r>
        <w:t>Replicache 服务端推送协议：</w:t>
      </w:r>
      <w:hyperlink r:id="rId10">
        <w:r>
          <w:t>https://doc.replicache.dev/reference/server-push</w:t>
        </w:r>
      </w:hyperlink>
    </w:p>
    <w:p>
      <w:r>
        <w:t>CouchDB 最终一致性：</w:t>
      </w:r>
      <w:hyperlink r:id="rId11">
        <w:r>
          <w:t>https://docs.couchdb.org/en/stable/intro/consistency.html</w:t>
        </w:r>
      </w:hyperlink>
    </w:p>
    <w:p>
      <w:r>
        <w:t>CouchDB 复制介绍：</w:t>
      </w:r>
      <w:hyperlink r:id="rId12">
        <w:r>
          <w:t>https://docs.couchdb.org/en/stable/replication/intro.html</w:t>
        </w:r>
      </w:hyperlink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4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B6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.replicache.dev/concepts/how-it-works" TargetMode="External"/><Relationship Id="rId10" Type="http://schemas.openxmlformats.org/officeDocument/2006/relationships/hyperlink" Target="https://doc.replicache.dev/reference/server-push" TargetMode="External"/><Relationship Id="rId11" Type="http://schemas.openxmlformats.org/officeDocument/2006/relationships/hyperlink" Target="https://docs.couchdb.org/en/stable/intro/consistency.html" TargetMode="External"/><Relationship Id="rId12" Type="http://schemas.openxmlformats.org/officeDocument/2006/relationships/hyperlink" Target="https://docs.couchdb.org/en/stable/replication/intr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