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Hiragino Sans GB" w:hAnsi="Hiragino Sans GB" w:eastAsia="Hiragino Sans GB"/>
        </w:rPr>
        <w:t>Azure切换与数据库访问改造实施说明</w:t>
      </w:r>
    </w:p>
    <w:p>
      <w:r>
        <w:rPr>
          <w:rFonts w:ascii="Hiragino Sans GB" w:hAnsi="Hiragino Sans GB" w:eastAsia="Hiragino Sans GB"/>
        </w:rPr>
        <w:t>版本 3.21.3候选   阶段 第一阶段安全准备与待完成生产验收</w:t>
      </w:r>
    </w:p>
    <w:p>
      <w:r>
        <w:rPr>
          <w:rFonts w:ascii="Hiragino Sans GB" w:hAnsi="Hiragino Sans GB" w:eastAsia="Hiragino Sans GB"/>
        </w:rPr>
        <w:t>先完成Azure同步切换，再实施数据库访问改造，分别验收和发布。初始迁移已经完成，网站仍未切换。本次修复预检、冻结和回滚工具，并补齐权威账号状态校验。本报告明确区分已通过的工具测试与尚未完成的生产验收；第二阶段尚未开始。</w:t>
      </w:r>
    </w:p>
    <w:p>
      <w:pPr>
        <w:pStyle w:val="Heading1"/>
      </w:pPr>
      <w:r>
        <w:rPr>
          <w:rFonts w:ascii="Hiragino Sans GB" w:hAnsi="Hiragino Sans GB" w:eastAsia="Hiragino Sans GB"/>
        </w:rPr>
        <w:t>一 版本与最新实查</w:t>
      </w:r>
    </w:p>
    <w:p>
      <w:r>
        <w:rPr>
          <w:rFonts w:ascii="Hiragino Sans GB" w:hAnsi="Hiragino Sans GB" w:eastAsia="Hiragino Sans GB"/>
        </w:rPr>
        <w:t>仓库main基线为acaa314e493e181df5f81fbbe5a20ab6e5cba100，版本3.21.2；本机由3.19.0同步到此基线，原有开发改动保留。本次分支codex/azure-cutover-safety，应用、后台包、锁文件、APP_VERSION和README统一为候选3.21.3。候选版本不表示生产已经发布。</w:t>
      </w:r>
    </w:p>
    <w:p>
      <w:r>
        <w:rPr>
          <w:rFonts w:ascii="Hiragino Sans GB" w:hAnsi="Hiragino Sans GB" w:eastAsia="Hiragino Sans GB"/>
        </w:rPr>
        <w:t>历史记录显示83张应用表、8个账号、30个文件已复制并核对。本次北京时间10月8日00时31分只读实查：两边83张表、8个账号，账号状态一致，14张表存在数据差异。初始迁移完成后源库继续写入，切换前必须追平。计数和指纹核对不能替代函数、权限、对象存储或真实登录验收。</w:t>
      </w:r>
    </w:p>
    <w:p>
      <w:r>
        <w:rPr>
          <w:rFonts w:ascii="Hiragino Sans GB" w:hAnsi="Hiragino Sans GB" w:eastAsia="Hiragino Sans GB"/>
        </w:rPr>
        <w:t>Supabase CA有效。首次失败发生在Azure 5432端口连接超时，尚未校验密码；用户加入出口IP白名单后成功。本机Azure CLI已登录，Azure数据库Ready，PostgreSQL17，公共网络Enabled。配置模板中的私网规划不能冒充实际部署。</w:t>
      </w:r>
    </w:p>
    <w:p>
      <w:pPr>
        <w:pStyle w:val="Heading1"/>
      </w:pPr>
      <w:r>
        <w:rPr>
          <w:rFonts w:ascii="Hiragino Sans GB" w:hAnsi="Hiragino Sans GB" w:eastAsia="Hiragino Sans GB"/>
        </w:rPr>
        <w:t>二 日志统计与判断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2"/>
        <w:gridCol w:w="1584"/>
        <w:gridCol w:w="1728"/>
      </w:tblGrid>
      <w:tr>
        <w:trPr>
          <w:cantSplit/>
          <w:tblHeader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请求类型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次数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占比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账号资料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257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25.7%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Auth用户校验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242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24.2%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通知已读状态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234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23.4%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公告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227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22.7%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其他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40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4.0%</w:t>
            </w:r>
          </w:p>
        </w:tc>
      </w:tr>
    </w:tbl>
    <w:p/>
    <w:p>
      <w:r>
        <w:rPr>
          <w:rFonts w:ascii="Hiragino Sans GB" w:hAnsi="Hiragino Sans GB" w:eastAsia="Hiragino Sans GB"/>
        </w:rPr>
        <w:t>1000条记录覆盖10月7日23时41分34秒至23时51分05秒，约9分31秒。前四项占96%。日志含Auth REST和平台记录，不能直接说成1000条SQL或确定设备数量。私人原始日志不随报告提交。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三 迁移范围和数据差异</w:t>
      </w:r>
    </w:p>
    <w:p>
      <w:r>
        <w:rPr>
          <w:rFonts w:ascii="Hiragino Sans GB" w:hAnsi="Hiragino Sans GB" w:eastAsia="Hiragino Sans GB"/>
        </w:rPr>
        <w:t>第一阶段切换五张同步表，以及必要的账号状态和备份变更标记；Supabase登录保留。其他业务表继续使用当前来源，不能批量覆盖后宣称全站已迁移。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2"/>
        <w:gridCol w:w="936"/>
        <w:gridCol w:w="936"/>
        <w:gridCol w:w="1440"/>
      </w:tblGrid>
      <w:tr>
        <w:trPr>
          <w:cantSplit/>
          <w:tblHeader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表名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源库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Azure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指纹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web_sync_devices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18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legacy_sync_data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249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sync_operations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4435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4414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sync_conflicts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222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一致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web_sync_upload_chunks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一致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private.backup_dirty_pages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ai_usage_ledger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653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647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backup_center_versions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160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160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companion_activity_daily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94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72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companion_devices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navigation_usage_daily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301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296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redemption_code_novels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redemption_codes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redemption_uses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3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user_novel_entitlements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user_settings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26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</w:tbl>
    <w:p/>
    <w:p>
      <w:r>
        <w:rPr>
          <w:rFonts w:ascii="Hiragino Sans GB" w:hAnsi="Hiragino Sans GB" w:eastAsia="Hiragino Sans GB"/>
        </w:rPr>
        <w:t>设备少1条，操作少21条；同步数据都是249条但内容变化。冲突222条和上传分块0条且指纹一致。最终追平仍完整核对五张表，保留删除标记、去重和大值分块。</w:t>
      </w:r>
    </w:p>
    <w:p>
      <w:r>
        <w:rPr>
          <w:rFonts w:ascii="Hiragino Sans GB" w:hAnsi="Hiragino Sans GB" w:eastAsia="Hiragino Sans GB"/>
        </w:rPr>
        <w:t>备份脏标记和版本记录有内容变化，需明确Azure写入后的备份路由。备份队列不能仅复制过去而继续让旧库后台生成过期快照。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四 已实现的安全修复</w:t>
      </w:r>
    </w:p>
    <w:p>
      <w:r>
        <w:rPr>
          <w:rFonts w:ascii="Hiragino Sans GB" w:hAnsi="Hiragino Sans GB" w:eastAsia="Hiragino Sans GB"/>
        </w:rPr>
        <w:t>默认只读预检。无参数或--preflight不修改数据。只有显式--apply并具备受保护证据才进入生产冻结和追平。</w:t>
      </w:r>
    </w:p>
    <w:p>
      <w:r>
        <w:rPr>
          <w:rFonts w:ascii="Hiragino Sans GB" w:hAnsi="Hiragino Sans GB" w:eastAsia="Hiragino Sans GB"/>
        </w:rPr>
        <w:t>证据门槛。24小时内且来源目标匹配；真实登录、双用户隔离、设备撤销、账号封禁、反向复制演练、两端写入口暂停及备份路由均通过。备份和报告须存在、私有、匹配SHA256；不能用模拟测试填造生产通过。</w:t>
      </w:r>
    </w:p>
    <w:p>
      <w:r>
        <w:rPr>
          <w:rFonts w:ascii="Hiragino Sans GB" w:hAnsi="Hiragino Sans GB" w:eastAsia="Hiragino Sans GB"/>
        </w:rPr>
        <w:t>写入围栏。五张源表取得排他锁排空在途事务，安装ALWAYS语句触发器拦截INSERT UPDATE DELETE TRUNCATE；按真实授权撤销非所有者写权限，覆盖已有高权限函数写入。</w:t>
      </w:r>
    </w:p>
    <w:p>
      <w:r>
        <w:rPr>
          <w:rFonts w:ascii="Hiragino Sans GB" w:hAnsi="Hiragino Sans GB" w:eastAsia="Hiragino Sans GB"/>
        </w:rPr>
        <w:t>同步重试修复。只读聚合发现14项缓存远端结果过期，其中6项大值；未证明与页面6项队列相同。两端API保留原去重决策，重试时读取当前用户最新记录；缺失时拒绝确认，保留本地队列。3项回归通过，尚未部署。</w:t>
      </w:r>
    </w:p>
    <w:p>
      <w:r>
        <w:rPr>
          <w:rFonts w:ascii="Hiragino Sans GB" w:hAnsi="Hiragino Sans GB" w:eastAsia="Hiragino Sans GB"/>
        </w:rPr>
        <w:t>准确恢复。记录原ACL及GRANT OPTION和触发器O D R A状态。目标事务临时关闭原业务触发器，复制完成后精确恢复并校验；目标提交前失败可以恢复源围栏与原授权。</w:t>
      </w:r>
    </w:p>
    <w:p>
      <w:r>
        <w:rPr>
          <w:rFonts w:ascii="Hiragino Sans GB" w:hAnsi="Hiragino Sans GB" w:eastAsia="Hiragino Sans GB"/>
        </w:rPr>
        <w:t>提交结果。提交后报告保存失败不会错误声称回滚；提交确认丢失报告COMMIT_OUTCOME_UNKNOWN并保持冻结。源权限恢复失败报告SOURCE_RECOVERY_REQUIRED，禁止自动启用旧入口。</w:t>
      </w:r>
    </w:p>
    <w:p>
      <w:r>
        <w:rPr>
          <w:rFonts w:ascii="Hiragino Sans GB" w:hAnsi="Hiragino Sans GB" w:eastAsia="Hiragino Sans GB"/>
        </w:rPr>
        <w:t>权威账号状态。生产后台先验证JWT，再用该用户令牌向Supabase profiles读取自身最新状态；停用删除或资料不匹配拒绝，超时配置缺失及异常响应503。没有跨用户会话或账号状态缓存。代码尚未部署验收。</w:t>
      </w:r>
    </w:p>
    <w:p>
      <w:r>
        <w:rPr>
          <w:rFonts w:ascii="Hiragino Sans GB" w:hAnsi="Hiragino Sans GB" w:eastAsia="Hiragino Sans GB"/>
        </w:rPr>
        <w:t>诊断和凭据。先检查网络及TLS再请求密码，探测不发送登录或SQL。错误仅输出固定步骤和原因。密码隐藏输入，退出清除；报告目录700、文件600；不关闭TLS验证，不记录令牌或私人数据。</w:t>
      </w:r>
    </w:p>
    <w:p>
      <w:pPr>
        <w:pStyle w:val="Heading1"/>
      </w:pPr>
      <w:r>
        <w:rPr>
          <w:rFonts w:ascii="Hiragino Sans GB" w:hAnsi="Hiragino Sans GB" w:eastAsia="Hiragino Sans GB"/>
        </w:rPr>
        <w:t>五 本机命令文件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4176"/>
      </w:tblGrid>
      <w:tr>
        <w:trPr>
          <w:cantSplit/>
          <w:tblHeader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文件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azure-preflight.command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两端结构 权限 账号及83表指纹只读核对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azure-real-login-check.command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网站真实登录后读取四个Azure接口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azure-cutover-backup.command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两端应用及auth逻辑归档与目录校验</w:t>
            </w:r>
          </w:p>
        </w:tc>
      </w:tr>
    </w:tbl>
    <w:p/>
    <w:p>
      <w:r>
        <w:rPr>
          <w:rFonts w:ascii="Hiragino Sans GB" w:hAnsi="Hiragino Sans GB" w:eastAsia="Hiragino Sans GB"/>
        </w:rPr>
        <w:t>三个文件位于jackyun-portal/scripts。备份使用PostgreSQL17 pg_dump自定义格式，范围public auth jackyun_private，记录SHA256。pg_restore --list不等于恢复演练；对象文件须另行核对。历史Windows私有备份不在本机。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六 第一阶段生产执行顺序</w:t>
      </w:r>
    </w:p>
    <w:p>
      <w:r>
        <w:rPr>
          <w:rFonts w:ascii="Hiragino Sans GB" w:hAnsi="Hiragino Sans GB" w:eastAsia="Hiragino Sans GB"/>
        </w:rPr>
        <w:t>1 同步代码和保存现状，确认最新版本，列出网站API、旧页面兼容、定时任务和所有直接同步写入入口。</w:t>
      </w:r>
    </w:p>
    <w:p>
      <w:r>
        <w:rPr>
          <w:rFonts w:ascii="Hiragino Sans GB" w:hAnsi="Hiragino Sans GB" w:eastAsia="Hiragino Sans GB"/>
        </w:rPr>
        <w:t>2 用户通过隐藏输入生成两端最新归档，在隔离数据库实际恢复并核对数据、权限和依赖。原数据库与对象保留。</w:t>
      </w:r>
    </w:p>
    <w:p>
      <w:r>
        <w:rPr>
          <w:rFonts w:ascii="Hiragino Sans GB" w:hAnsi="Hiragino Sans GB" w:eastAsia="Hiragino Sans GB"/>
        </w:rPr>
        <w:t>3 真实身份验收。当前只有用户本人账号；邮箱密码命令登录返回REAL_LOGIN_FAILED，不能标为通过。用户授权改用浏览器现有登录状态测试。网站浏览器会话已确认有效，但有6项待上传且同步分片409；Azure读写仍未验收。双用户需要第二个真实账号；封禁测试使用可恢复测试账号。</w:t>
      </w:r>
    </w:p>
    <w:p>
      <w:r>
        <w:rPr>
          <w:rFonts w:ascii="Hiragino Sans GB" w:hAnsi="Hiragino Sans GB" w:eastAsia="Hiragino Sans GB"/>
        </w:rPr>
        <w:t>4 为后台修复准备可回退代码包，部署权威账号状态校验，验证真实令牌、失效令牌、停用和来源不可用行为。管理员数据库密码不得放入后台运行配置。</w:t>
      </w:r>
    </w:p>
    <w:p>
      <w:r>
        <w:rPr>
          <w:rFonts w:ascii="Hiragino Sans GB" w:hAnsi="Hiragino Sans GB" w:eastAsia="Hiragino Sans GB"/>
        </w:rPr>
        <w:t>5 暂停两端写入口和定时任务并排空，记录具体入口及时间，保存最新备份。仅ACL不足以证明应用入口暂停。</w:t>
      </w:r>
    </w:p>
    <w:p>
      <w:r>
        <w:rPr>
          <w:rFonts w:ascii="Hiragino Sans GB" w:hAnsi="Hiragino Sans GB" w:eastAsia="Hiragino Sans GB"/>
        </w:rPr>
        <w:t>6 证据门槛通过后显式--apply，源五表冻结提交，目标事务复制五表和必要账号状态及备份标记，核对计数、指纹、删除、去重和触发器。任何失败不启用网站转发。</w:t>
      </w:r>
    </w:p>
    <w:p>
      <w:r>
        <w:rPr>
          <w:rFonts w:ascii="Hiragino Sans GB" w:hAnsi="Hiragino Sans GB" w:eastAsia="Hiragino Sans GB"/>
        </w:rPr>
        <w:t>7 验收通过后设置服务端AZURE_SYNC_API_URL并部署。新版及旧页面只写Azure，失败保留本地待同步队列，不回写旧库。</w:t>
      </w:r>
    </w:p>
    <w:p>
      <w:r>
        <w:rPr>
          <w:rFonts w:ascii="Hiragino Sans GB" w:hAnsi="Hiragino Sans GB" w:eastAsia="Hiragino Sans GB"/>
        </w:rPr>
        <w:t>8 至少观察24小时，确认无旧同步写入、丢失或跨用户访问。文件应用、Entra或Passkeys、通知后台等继续保留路线图。</w:t>
      </w:r>
    </w:p>
    <w:p>
      <w:pPr>
        <w:pStyle w:val="Heading1"/>
      </w:pPr>
      <w:r>
        <w:rPr>
          <w:rFonts w:ascii="Hiragino Sans GB" w:hAnsi="Hiragino Sans GB" w:eastAsia="Hiragino Sans GB"/>
        </w:rPr>
        <w:t>七 回退规则与限制</w:t>
      </w:r>
    </w:p>
    <w:p>
      <w:r>
        <w:rPr>
          <w:rFonts w:ascii="Hiragino Sans GB" w:hAnsi="Hiragino Sans GB" w:eastAsia="Hiragino Sans GB"/>
        </w:rPr>
        <w:t>切换前在隔离环境演练反向复制。切换后需回退时先冻结Azure并备份两端，将新增、更新、删除和操作去重回灌旧库，核对后恢复旧入口和原权限。禁止仅更换连接串导致新数据丢失。提交结果不明先调查，不能强行撤销源围栏。</w:t>
      </w:r>
    </w:p>
    <w:p>
      <w:r>
        <w:rPr>
          <w:rFonts w:ascii="Hiragino Sans GB" w:hAnsi="Hiragino Sans GB" w:eastAsia="Hiragino Sans GB"/>
        </w:rPr>
        <w:t>读取旧部署包被Blob身份数据权限拒绝；自动审批也拒绝使用存储账户密钥，未新增角色或获取密钥。可以从已核对仓库版本构建回退包，但不等同已备份并核验当前线上包。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八 第二阶段数据库访问改造计划</w:t>
      </w:r>
    </w:p>
    <w:p>
      <w:r>
        <w:rPr>
          <w:rFonts w:ascii="Hiragino Sans GB" w:hAnsi="Hiragino Sans GB" w:eastAsia="Hiragino Sans GB"/>
        </w:rPr>
        <w:t>第一阶段验收发布后再实施第二阶段，预计版本3.22.0，发布前重新核对占用。以下目标尚未实现或测量。</w:t>
      </w:r>
    </w:p>
    <w:p>
      <w:r>
        <w:rPr>
          <w:rFonts w:ascii="Hiragino Sans GB" w:hAnsi="Hiragino Sans GB" w:eastAsia="Hiragino Sans GB"/>
        </w:rPr>
        <w:t>统一请求上下文与访问层。页面 Server Actions API及Azure后台复用同一请求身份和查询结果，禁止跨用户共享带会话客户端；建立模块及数据源清单，排查隐藏旧写入。</w:t>
      </w:r>
    </w:p>
    <w:p>
      <w:r>
        <w:rPr>
          <w:rFonts w:ascii="Hiragino Sans GB" w:hAnsi="Hiragino Sans GB" w:eastAsia="Hiragino Sans GB"/>
        </w:rPr>
        <w:t>统一认证。普通访问验证JWT，最新账号状态、即时撤销及高权限操作保留权威查询；代理布局与业务函数不重复检查。不能以未经验证的getSession代替鉴权。</w:t>
      </w:r>
    </w:p>
    <w:p>
      <w:r>
        <w:rPr>
          <w:rFonts w:ascii="Hiragino Sans GB" w:hAnsi="Hiragino Sans GB" w:eastAsia="Hiragino Sans GB"/>
        </w:rPr>
        <w:t>合并通知。受用户权限约束的一次查询返回通知及已读状态；公告弹窗、横幅、未读数量和收件箱共享快照。历史分页按需加载，页面范围只从已授权快照筛选。</w:t>
      </w:r>
    </w:p>
    <w:p>
      <w:r>
        <w:rPr>
          <w:rFonts w:ascii="Hiragino Sans GB" w:hAnsi="Hiragino Sans GB" w:eastAsia="Hiragino Sans GB"/>
        </w:rPr>
        <w:t>控制刷新。公告监听全部storage事件及弹窗收件箱分开轮询已确认放大请求。改为相关事件触发、已读即时本地更新再合并刷新。同账号同浏览器一个标签页每60秒轮询；隐藏休眠离线暂停，恢复补一次，禁止并发重入。</w:t>
      </w:r>
    </w:p>
    <w:p>
      <w:r>
        <w:rPr>
          <w:rFonts w:ascii="Hiragino Sans GB" w:hAnsi="Hiragino Sans GB" w:eastAsia="Hiragino Sans GB"/>
        </w:rPr>
        <w:t>检查其他模块。设置、客服、阅读、扩展和后台面板逐项检查计时器、订阅清理、重复挂载及重试。必要同步分块保留。</w:t>
      </w:r>
    </w:p>
    <w:p>
      <w:r>
        <w:rPr>
          <w:rFonts w:ascii="Hiragino Sans GB" w:hAnsi="Hiragino Sans GB" w:eastAsia="Hiragino Sans GB"/>
        </w:rPr>
        <w:t>Azure SQL。保留连接池、事务、身份上下文、RLS及写入锁，合并重复初始化查询。业务SQL与事务控制语句分别统计，账号状态保持所需实时性。</w:t>
      </w:r>
    </w:p>
    <w:p>
      <w:r>
        <w:rPr>
          <w:rFonts w:ascii="Hiragino Sans GB" w:hAnsi="Hiragino Sans GB" w:eastAsia="Hiragino Sans GB"/>
        </w:rPr>
        <w:t>可验证指标。浏览器 网站 Azure使用同一请求ID；记录来源、刷新原因、后端和SQL调用数、响应字节及耗时，不记录令牌邮箱或同步内容。</w:t>
      </w:r>
    </w:p>
    <w:p>
      <w:pPr>
        <w:pStyle w:val="Heading1"/>
      </w:pPr>
      <w:r>
        <w:rPr>
          <w:rFonts w:ascii="Hiragino Sans GB" w:hAnsi="Hiragino Sans GB" w:eastAsia="Hiragino Sans GB"/>
        </w:rPr>
        <w:t>九 性能验收目标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5184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场景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目标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单设备前台静置60分钟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通知快照不超过65次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同浏览器多标签页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不随标签页数量倍增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同一操作脚本前后对比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四类高频请求合计下降至少80%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后台 休眠 离线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不持续轮询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公告及已读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新公告60秒内 本地已读立即反馈</w:t>
            </w:r>
          </w:p>
        </w:tc>
      </w:tr>
    </w:tbl>
    <w:p/>
    <w:p>
      <w:r>
        <w:rPr>
          <w:rFonts w:ascii="Hiragino Sans GB" w:hAnsi="Hiragino Sans GB" w:eastAsia="Hiragino Sans GB"/>
        </w:rPr>
        <w:t>无关存储修改、切页、重复挂载与已读不得产生请求循环；封禁、管理员权限与隔离不得因缓存失效。性能目标尚未实测。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 测试矩阵与实际验收结果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3888"/>
      </w:tblGrid>
      <w:tr>
        <w:trPr>
          <w:cantSplit/>
          <w:tblHeader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切换编排和脱敏诊断8项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单元与模拟连接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Azure后台12项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包括权威状态单元测试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同步回归64项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隔离本机PostgreSQL17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真实SQL复制 回滚 ACL及触发器恢复通过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TypeScript 生产构建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90个路由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修改文件eslint shell语法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密钥检查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无私人PEM标记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全仓库lint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失败 16错误 1警告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邮箱密码真实登录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失败 REAL_LOGIN_FAILED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网站浏览器会话及Azure验收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网站会话有效 Azure及双用户待验收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两端最新备份恢复及反向复制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待完成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生产追平与网站转发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未执行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24小时观察与第二阶段性能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未开始</w:t>
            </w:r>
          </w:p>
        </w:tc>
      </w:tr>
    </w:tbl>
    <w:p/>
    <w:p>
      <w:r>
        <w:rPr>
          <w:rFonts w:ascii="Hiragino Sans GB" w:hAnsi="Hiragino Sans GB" w:eastAsia="Hiragino Sans GB"/>
        </w:rPr>
        <w:t>全仓库lint已有错误：reset-password fullscreen-button topbar ielts-cycle-board companion-settings-panel涉及内部导航或effect规则；auth-service-recovery auth-session-cookies music-sync sync-remote-record测试涉及类型规则；cue-practice有未使用变量警告。未把失败写为通过，也未改写这些无关模块。</w:t>
      </w:r>
    </w:p>
    <w:p>
      <w:pPr>
        <w:pStyle w:val="Heading1"/>
      </w:pPr>
      <w:r>
        <w:rPr>
          <w:rFonts w:ascii="Hiragino Sans GB" w:hAnsi="Hiragino Sans GB" w:eastAsia="Hiragino Sans GB"/>
        </w:rPr>
        <w:t>十一 仓库交付与发布</w:t>
      </w:r>
    </w:p>
    <w:p>
      <w:r>
        <w:rPr>
          <w:rFonts w:ascii="Hiragino Sans GB" w:hAnsi="Hiragino Sans GB" w:eastAsia="Hiragino Sans GB"/>
        </w:rPr>
        <w:t>提交安全修复、macOS命令文件、本机PostgreSQL集成测试、更新的迁移记录及本DOCX，通过独立分支草稿PR上传。当前候选3.21.3不代表第一阶段全部完成。生产发布保存提交、构建包SHA256、备份关联、实际验收及回退记录；第二阶段独立发布。原日志、令牌、密码和数据库归档不入Git。</w:t>
      </w:r>
    </w:p>
    <w:p>
      <w:r>
        <w:rPr>
          <w:rFonts w:ascii="Hiragino Sans GB" w:hAnsi="Hiragino Sans GB" w:eastAsia="Hiragino Sans GB"/>
        </w:rPr>
        <w:t>Terminal的openclaw compdef错误属于本机shell补全配置，发生在脚本启动前；后续预检成功说明它没有阻止数据库核对。本次未修改用户全局shell设置。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十二 参考与证据</w:t>
      </w:r>
    </w:p>
    <w:p>
      <w:r>
        <w:rPr>
          <w:rFonts w:ascii="Hiragino Sans GB" w:hAnsi="Hiragino Sans GB" w:eastAsia="Hiragino Sans GB"/>
        </w:rPr>
        <w:t>仓库 docs/azure-data-migration.md；本机.migration-private中的summary.json及两端manifest为本次实查证据，不上传私人归档。</w:t>
      </w:r>
    </w:p>
    <w:p>
      <w:r>
        <w:rPr>
          <w:rFonts w:ascii="Hiragino Sans GB" w:hAnsi="Hiragino Sans GB" w:eastAsia="Hiragino Sans GB"/>
        </w:rPr>
        <w:t>Supabase认证 https://supabase.com/docs/guides/auth/server-side/creating-a-client</w:t>
      </w:r>
    </w:p>
    <w:p>
      <w:r>
        <w:rPr>
          <w:rFonts w:ascii="Hiragino Sans GB" w:hAnsi="Hiragino Sans GB" w:eastAsia="Hiragino Sans GB"/>
        </w:rPr>
        <w:t>PostgreSQL17归档 https://www.postgresql.org/docs/17/app-pgdump.html</w:t>
      </w:r>
    </w:p>
    <w:p>
      <w:r>
        <w:rPr>
          <w:rFonts w:ascii="Hiragino Sans GB" w:hAnsi="Hiragino Sans GB" w:eastAsia="Hiragino Sans GB"/>
        </w:rPr>
        <w:t>Azure Flex部署 https://learn.microsoft.com/en-us/azure/azure-functions/flex-consumption-how-to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十三 同步入口审计及待适配项</w:t>
      </w:r>
    </w:p>
    <w:p>
      <w:r>
        <w:rPr>
          <w:rFonts w:ascii="Hiragino Sans GB" w:hAnsi="Hiragino Sans GB" w:eastAsia="Hiragino Sans GB"/>
        </w:rPr>
        <w:t>代码审计发现五个同步API以外仍有旧表写入，生产转发保持未启用。数据库围栏会拒绝这些写入，但不能替代正确路由。具体文件见docs/azure-sync-entry-audit.md；以下不是已完成的功能。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176"/>
        <w:gridCol w:w="4608"/>
      </w:tblGrid>
      <w:tr>
        <w:trPr>
          <w:cantSplit/>
          <w:tblHeader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入口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切换前待完成要求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五个同步API及旧页面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真实读写 分块 去重 撤销与兼容验收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日程备份恢复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候选Azure路由与恢复前备份已实现 真实验收待完成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批量数据导入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同步项须经Azure写入口 保留大值与恢复语义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数据导出和导入预览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当前同步值须读取Azure 避免过期快照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云端备份恢复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Azure配置时拒绝旧RPC 整页协调仍待完成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手动和自动备份 版本检查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手动候选读取Azure 自动备份协调尚未完成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数据库RPC及触发器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逐项核对备份关联和两端数据来源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定时任务和外部旧客户端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暂停 排空及失败保留队列须保存实证</w:t>
            </w:r>
          </w:p>
        </w:tc>
      </w:tr>
    </w:tbl>
    <w:p/>
    <w:p>
      <w:r>
        <w:rPr>
          <w:rFonts w:ascii="Hiragino Sans GB" w:hAnsi="Hiragino Sans GB" w:eastAsia="Hiragino Sans GB"/>
        </w:rPr>
        <w:t>五个API支持转发不能证明全部写入口迁移。备份路由真实验收、最新可恢复备份、真实身份和反向复制通过后才能执行切换。源围栏覆盖五表所有常规写入，包括高权限函数内的写入；仍需监测旧入口调用。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十四 导出与导入来源适配进展</w:t>
      </w:r>
    </w:p>
    <w:p>
      <w:r>
        <w:rPr>
          <w:rFonts w:ascii="Hiragino Sans GB" w:hAnsi="Hiragino Sans GB" w:eastAsia="Hiragino Sans GB"/>
        </w:rPr>
        <w:t>候选代码已适配完整数据导出、导入预览和同步项导入。Azure启用时，同步项不再直接查询或更新Supabase旧表；其他应用表保留原来源。日程恢复及手动页面备份已在后续候选适配，见下一节；自动备份和整页恢复仍待完成，本节不表示第一阶段通过。</w:t>
      </w:r>
    </w:p>
    <w:p>
      <w:r>
        <w:rPr>
          <w:rFonts w:ascii="Hiragino Sans GB" w:hAnsi="Hiragino Sans GB" w:eastAsia="Hiragino Sans GB"/>
        </w:rPr>
        <w:t>新增受当前用户身份与RLS约束的Azure分页导出，每页20项，游标按UTF8字节排序，不受500条或相同更新时间截断。过滤凭据和诊断键，不在游标中泄露这些键。每项大值下载保持版本及SHA256校验；遇409读取最新版本重试，组装后再次核对版本清单，持续变化则拒绝备份完成。</w:t>
      </w:r>
    </w:p>
    <w:p>
      <w:r>
        <w:rPr>
          <w:rFonts w:ascii="Hiragino Sans GB" w:hAnsi="Hiragino Sans GB" w:eastAsia="Hiragino Sans GB"/>
        </w:rPr>
        <w:t>导入先读取当前版本和哈希，用同一会话设备及一个操作编号写入，超过字节或字符上限走既有分块接口；只接受匹配操作、键和版本的成功确认。网络失败、远端决策或冲突不确认成功，也不转写旧库。计数预览和未选页面不下载无关大值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rPr>
          <w:cantSplit/>
          <w:tblHeader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新增验证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传输回归8项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530条 同时间戳 大值 中文 409重读 哈希校验 删除 失败不回写 持续变化拒绝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本机PostgreSQL17真实SQL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532项分页 Unicode游标 RLS隔离及A B A身份复用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身份证据限制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本机用户为夹具 不能替代两个真实Supabase账号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尚未完成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线上部署 真实导出导入与失败恢复 日程恢复 云端版本备份</w:t>
            </w:r>
          </w:p>
        </w:tc>
      </w:tr>
    </w:tbl>
    <w:p/>
    <w:p>
      <w:r>
        <w:rPr>
          <w:rFonts w:ascii="Hiragino Sans GB" w:hAnsi="Hiragino Sans GB" w:eastAsia="Hiragino Sans GB"/>
        </w:rPr>
        <w:t>真实SQL测试仅使用自动清理的临时Unix socket数据库，没有连接或修改生产。新增端点需要部署候选后台后才能生产验收；当前线上后台仍为旧版本，网站Azure变量仍未启用。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十五 日程恢复与手动备份保护</w:t>
      </w:r>
    </w:p>
    <w:p>
      <w:r>
        <w:rPr>
          <w:rFonts w:ascii="Hiragino Sans GB" w:hAnsi="Hiragino Sans GB" w:eastAsia="Hiragino Sans GB"/>
        </w:rPr>
        <w:t>候选代码已适配日程版本恢复：读取当前Azure版本，下载同页面当前Azure同步值，在Supabase同一事务保存这些值和仍由源端负责的页面业务表；成功返回有效版本编号后才写Azure。历史日程版本仍从Supabase读取，恢复写入使用Azure现有鉴权、去重和分块入口，不直接更新旧同步表。</w:t>
      </w:r>
    </w:p>
    <w:p>
      <w:r>
        <w:rPr>
          <w:rFonts w:ascii="Hiragino Sans GB" w:hAnsi="Hiragino Sans GB" w:eastAsia="Hiragino Sans GB"/>
        </w:rPr>
        <w:t>恢复前保存失败、Azure不可用或当前版本在保存后变化，均不发送恢复写入，不确认成功。恢复前版本标记免于普通保留数量清理。写入同时携带预备份时版本及哈希，后台在同一写入事务及用户写锁内再次核对版本和哈希，防止最后一次客户端读取与写入之间的并发覆盖；大值重组后同样核对。跨来源读取不是跨数据库原子快照；自动备份协调和整页恢复未完成，不能提前启用生产。</w:t>
      </w:r>
    </w:p>
    <w:p>
      <w:r>
        <w:rPr>
          <w:rFonts w:ascii="Hiragino Sans GB" w:hAnsi="Hiragino Sans GB" w:eastAsia="Hiragino Sans GB"/>
        </w:rPr>
        <w:t>新增候选源端RPC create_backup_page_with_sync。安全定义者函数固定空搜索路径并显式核对auth.uid、权威active和未删除状态、每行归属、合法同步键、页面、重复键及元数据，匿名无执行权。同步快照最多20,000条且64MiB，超限拒绝；额外字段被丢弃。其他表由源端现有函数读取，调用者不能注入其快照。没有修改旧同步表，也不清除两端改动标记。</w:t>
      </w:r>
    </w:p>
    <w:p>
      <w:r>
        <w:rPr>
          <w:rFonts w:ascii="Hiragino Sans GB" w:hAnsi="Hiragino Sans GB" w:eastAsia="Hiragino Sans GB"/>
        </w:rPr>
        <w:t>此迁移文件仅在隔离本机PostgreSQL17执行，生产尚未应用。自动备份在Azure配置存在时明确拒绝原RPC并保留标记；整页恢复同样拒绝原RPC，提供下载版本和按项导入路径，但完整协调仍待实施。手动备份和课表检查优先当前Azure数据，失败不读取旧副本冒充最新数据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5616"/>
      </w:tblGrid>
      <w:tr>
        <w:trPr>
          <w:cantSplit/>
          <w:tblHeader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恢复传输6项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先备份后写入 保存失败和版本变化不写 空课表拒绝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本机PostgreSQL17真实SQL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合并源端业务表 冻结旧表无写入 匿名/停用/删除拒绝 归属页面元数据校验 改动标记保留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本轮回归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同步64项 TypeScript 修改文件lint及90路由生产构建通过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登录工具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新增脱敏原因分类；原失败原因仍未确定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真实浏览器验收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本机macOS锁屏 无法继续 未绕过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尚未完成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生产迁移应用 真实恢复 自动备份 整页恢复 最新备份恢复及反向复制 生产切换</w:t>
            </w:r>
          </w:p>
        </w:tc>
      </w:tr>
    </w:tbl>
    <w:p/>
    <w:p>
      <w:r>
        <w:rPr>
          <w:rFonts w:ascii="Hiragino Sans GB" w:hAnsi="Hiragino Sans GB" w:eastAsia="Hiragino Sans GB"/>
        </w:rPr>
        <w:t>生产切换和第二阶段仍未开始。本轮为同一3.21.3候选修复的后续部分，已上传独立分支PR；没有把本机夹具当作真实用户或实际线上验收。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Hiragino Sans GB" w:hAnsi="Hiragino Sans GB" w:eastAsia="Hiragino Sans GB"/>
      </w:rPr>
      <w:t xml:space="preserve">2026年10月8日  第 </w:t>
    </w:r>
    <w:fldSimple w:instr="PAGE"/>
    <w:r>
      <w:rPr>
        <w:rFonts w:ascii="Hiragino Sans GB" w:hAnsi="Hiragino Sans GB" w:eastAsia="Hiragino Sans GB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Hiragino Sans GB" w:hAnsi="Hiragino Sans GB" w:eastAsia="Hiragino Sans GB"/>
      </w:rPr>
      <w:t>JackYun  Azure迁移实施记录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0" w:lineRule="auto"/>
    </w:pPr>
    <w:rPr>
      <w:rFonts w:ascii="Hiragino Sans GB" w:hAnsi="Hiragino Sans GB" w:eastAsia="Hiragino Sans GB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Hiragino Sans GB" w:hAnsi="Hiragino Sans GB" w:eastAsia="Hiragino Sans GB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Hiragino Sans GB" w:hAnsi="Hiragino Sans GB" w:eastAsia="Hiragino Sans GB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80" w:line="250" w:lineRule="auto"/>
      <w:outlineLvl w:val="0"/>
    </w:pPr>
    <w:rPr>
      <w:rFonts w:cstheme="majorBidi" w:ascii="Hiragino Sans GB" w:hAnsi="Hiragino Sans GB" w:eastAsia="Hiragino Sans GB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50" w:lineRule="auto"/>
      <w:outlineLvl w:val="1"/>
    </w:pPr>
    <w:rPr>
      <w:rFonts w:cstheme="majorBidi" w:ascii="Hiragino Sans GB" w:hAnsi="Hiragino Sans GB" w:eastAsia="Hiragino Sans GB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Hiragino Sans GB" w:hAnsi="Hiragino Sans GB" w:eastAsia="Hiragino Sans GB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Hiragino Sans GB" w:hAnsi="Hiragino Sans GB" w:eastAsia="Hiragino Sans GB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Hiragino Sans GB" w:hAnsi="Hiragino Sans GB" w:eastAsia="Hiragino Sans GB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Hiragino Sans GB" w:hAnsi="Hiragino Sans GB" w:eastAsia="Hiragino Sans GB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Hiragino Sans GB" w:hAnsi="Hiragino Sans GB" w:eastAsia="Hiragino Sans GB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Hiragino Sans GB" w:hAnsi="Hiragino Sans GB" w:eastAsia="Hiragino Sans GB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Hiragino Sans GB" w:hAnsi="Hiragino Sans GB" w:eastAsia="Hiragino Sans GB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Hiragino Sans GB" w:hAnsi="Hiragino Sans GB" w:eastAsia="Hiragino Sans GB"/>
      <w:color w:val="0000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Hiragino Sans GB" w:hAnsi="Hiragino Sans GB" w:eastAsia="Hiragino Sans GB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Hiragino Sans GB" w:hAnsi="Hiragino Sans GB" w:eastAsia="Hiragino Sans GB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Hiragino Sans GB" w:hAnsi="Hiragino Sans GB" w:eastAsia="Hiragino Sans GB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50" w:lineRule="auto"/>
      <w:contextualSpacing/>
    </w:pPr>
    <w:rPr>
      <w:rFonts w:cstheme="majorBidi" w:ascii="Hiragino Sans GB" w:hAnsi="Hiragino Sans GB" w:eastAsia="Hiragino Sans GB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Hiragino Sans GB" w:hAnsi="Hiragino Sans GB" w:eastAsia="Hiragino Sans GB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Hiragino Sans GB" w:hAnsi="Hiragino Sans GB" w:eastAsia="Hiragino Sans GB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Hiragino Sans GB" w:hAnsi="Hiragino Sans GB" w:eastAsia="Hiragino Sans GB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Hiragino Sans GB" w:hAnsi="Hiragino Sans GB" w:eastAsia="Hiragino Sans GB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Hiragino Sans GB" w:hAnsi="Hiragino Sans GB" w:eastAsia="Hiragino Sans GB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Hiragino Sans GB" w:hAnsi="Hiragino Sans GB" w:eastAsia="Hiragino Sans GB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Hiragino Sans GB" w:hAnsi="Hiragino Sans GB" w:eastAsia="Hiragino Sans GB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Hiragino Sans GB" w:hAnsi="Hiragino Sans GB" w:eastAsia="Hiragino Sans GB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Hiragino Sans GB" w:hAnsi="Hiragino Sans GB" w:eastAsia="Hiragino Sans GB"/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Hiragino Sans GB" w:hAnsi="Hiragino Sans GB" w:eastAsia="Hiragino Sans GB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Hiragino Sans GB" w:hAnsi="Hiragino Sans GB" w:eastAsia="Hiragino Sans GB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Hiragino Sans GB" w:hAnsi="Hiragino Sans GB" w:eastAsia="Hiragino Sans GB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Hiragino Sans GB" w:hAnsi="Hiragino Sans GB" w:eastAsia="Hiragino Sans GB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Hiragino Sans GB" w:hAnsi="Hiragino Sans GB" w:eastAsia="Hiragino Sans GB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Hiragino Sans GB" w:hAnsi="Hiragino Sans GB" w:eastAsia="Hiragino Sans GB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Hiragino Sans GB" w:hAnsi="Hiragino Sans GB" w:eastAsia="Hiragino Sans GB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Hiragino Sans GB" w:hAnsi="Hiragino Sans GB" w:eastAsia="Hiragino Sans GB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Hiragino Sans GB" w:hAnsi="Hiragino Sans GB" w:eastAsia="Hiragino Sans GB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Hiragino Sans GB" w:hAnsi="Hiragino Sans GB" w:eastAsia="Hiragino Sans GB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Hiragino Sans GB" w:hAnsi="Hiragino Sans GB" w:eastAsia="Hiragino Sans GB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Hiragino Sans GB" w:hAnsi="Hiragino Sans GB" w:eastAsia="Hiragino Sans GB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Hiragino Sans GB" w:hAnsi="Hiragino Sans GB" w:eastAsia="Hiragino Sans GB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Hiragino Sans GB" w:hAnsi="Hiragino Sans GB" w:eastAsia="Hiragino Sans GB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Hiragino Sans GB" w:hAnsi="Hiragino Sans GB" w:eastAsia="Hiragino Sans GB"/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Hiragino Sans GB" w:hAnsi="Hiragino Sans GB" w:eastAsia="Hiragino Sans GB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Hiragino Sans GB" w:hAnsi="Hiragino Sans GB" w:eastAsia="Hiragino Sans GB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Hiragino Sans GB" w:hAnsi="Hiragino Sans GB" w:eastAsia="Hiragino Sans GB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Hiragino Sans GB" w:hAnsi="Hiragino Sans GB" w:eastAsia="Hiragino Sans GB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Hiragino Sans GB" w:hAnsi="Hiragino Sans GB" w:eastAsia="Hiragino Sans GB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Hiragino Sans GB" w:hAnsi="Hiragino Sans GB" w:eastAsia="Hiragino Sans GB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Hiragino Sans GB" w:hAnsi="Hiragino Sans GB" w:eastAsia="Hiragino Sans GB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Azure切换与数据库访问改造实施说明</dc:title>
  <dc:subject/>
  <dc:creator>JackYun项目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