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80"/>
      </w:pPr>
    </w:p>
    <w:p>
      <w:pPr>
        <w:spacing w:before="0" w:after="80"/>
      </w:pPr>
    </w:p>
    <w:p>
      <w:pPr>
        <w:spacing w:before="0" w:after="240"/>
      </w:pPr>
      <w:r>
        <w:rPr>
          <w:rFonts w:ascii="Consolas" w:hAnsi="Consolas" w:eastAsia="Consolas" w:cs="Consolas"/>
          <w:color w:val="856404"/>
          <w:sz w:val="18"/>
          <w:szCs w:val="18"/>
        </w:rPr>
        <w:t>CONFIDENTIAL — FOR AUTHORISED RECIPIENTS ONLY</w:t>
      </w:r>
    </w:p>
    <w:p>
      <w:pPr>
        <w:spacing w:before="0" w:after="80"/>
      </w:pPr>
      <w:r>
        <w:rPr>
          <w:rFonts w:ascii="Calibri" w:hAnsi="Calibri" w:eastAsia="Calibri" w:cs="Calibri"/>
          <w:b/>
          <w:bCs/>
          <w:color w:val="0D1525"/>
          <w:sz w:val="56"/>
          <w:szCs w:val="56"/>
        </w:rPr>
        <w:t>China Fixed Income Relative Value</w:t>
      </w:r>
    </w:p>
    <w:p>
      <w:pPr>
        <w:spacing w:before="0" w:after="60"/>
      </w:pPr>
      <w:r>
        <w:rPr>
          <w:rFonts w:ascii="Calibri" w:hAnsi="Calibri" w:eastAsia="Calibri" w:cs="Calibri"/>
          <w:color w:val="2A3A52"/>
          <w:sz w:val="30"/>
          <w:szCs w:val="30"/>
        </w:rPr>
        <w:t>Offshore Platform Proposal</w:t>
      </w:r>
    </w:p>
    <w:p>
      <w:pPr>
        <w:spacing w:before="0" w:after="600"/>
      </w:pPr>
      <w:r>
        <w:rPr>
          <w:rFonts w:ascii="Calibri" w:hAnsi="Calibri" w:eastAsia="Calibri" w:cs="Calibri"/>
          <w:i/>
          <w:iCs/>
          <w:color w:val="8492A6"/>
          <w:sz w:val="26"/>
          <w:szCs w:val="26"/>
        </w:rPr>
        <w:t>Systematic Alpha Strategy  ·  Institutional Track Record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D4ED8" w:sz="4" w:space="0"/>
              <w:left w:val="nil"/>
              <w:bottom w:val="nil"/>
              <w:right w:val="nil"/>
            </w:tcBorders>
          </w:tcPr>
          <w:p>
            <w:pPr>
              <w:spacing w:before="0" w:after="80"/>
            </w:pPr>
          </w:p>
        </w:tc>
      </w:tr>
    </w:tbl>
    <w:p>
      <w:pPr>
        <w:spacing w:before="0" w:after="80"/>
      </w:pPr>
    </w:p>
    <w:p>
      <w:r>
        <w:br w:type="page"/>
      </w:r>
    </w:p>
    <w:p>
      <w:pPr>
        <w:spacing w:before="0" w:after="120"/>
      </w:pPr>
      <w:r>
        <w:rPr>
          <w:rFonts w:ascii="Calibri" w:hAnsi="Calibri" w:eastAsia="Calibri" w:cs="Calibri"/>
          <w:b/>
          <w:bCs/>
          <w:color w:val="0D1525"/>
          <w:sz w:val="22"/>
          <w:szCs w:val="22"/>
        </w:rPr>
        <w:t xml:space="preserve">Yunfei Ma </w:t>
      </w:r>
      <w:r>
        <w:rPr>
          <w:rFonts w:ascii="Calibri" w:hAnsi="Calibri" w:eastAsia="Calibri" w:cs="Calibri"/>
          <w:color w:val="2A3A52"/>
          <w:sz w:val="22"/>
          <w:szCs w:val="22"/>
        </w:rPr>
        <w:t xml:space="preserve">is a systematic fixed-income proprietary portfolio manager at China Minsheng Bank, where he joined in November 2021 and has managed the proprietary fixed-income book since June 2022. His background spans a Cambridge PhD in computational science (published in 5 leading journals; 2,000-core parallel computing), two years as a quant analyst at Citigroup </w:t>
      </w:r>
      <w:r>
        <w:rPr>
          <w:rFonts w:hint="eastAsia" w:ascii="Calibri" w:hAnsi="Calibri" w:eastAsia="宋体" w:cs="Calibri"/>
          <w:color w:val="2A3A52"/>
          <w:sz w:val="22"/>
          <w:szCs w:val="22"/>
          <w:lang w:val="en-US" w:eastAsia="zh-CN"/>
        </w:rPr>
        <w:t>building</w:t>
      </w:r>
      <w:r>
        <w:rPr>
          <w:rFonts w:ascii="Calibri" w:hAnsi="Calibri" w:eastAsia="Calibri" w:cs="Calibri"/>
          <w:color w:val="2A3A52"/>
          <w:sz w:val="22"/>
          <w:szCs w:val="22"/>
        </w:rPr>
        <w:t xml:space="preserve"> interest rate </w:t>
      </w:r>
      <w:r>
        <w:rPr>
          <w:rFonts w:hint="eastAsia" w:ascii="Calibri" w:hAnsi="Calibri" w:eastAsia="宋体" w:cs="Calibri"/>
          <w:color w:val="2A3A52"/>
          <w:sz w:val="22"/>
          <w:szCs w:val="22"/>
          <w:lang w:val="en-US" w:eastAsia="zh-CN"/>
        </w:rPr>
        <w:t xml:space="preserve">pricing </w:t>
      </w:r>
      <w:r>
        <w:rPr>
          <w:rFonts w:ascii="Calibri" w:hAnsi="Calibri" w:eastAsia="Calibri" w:cs="Calibri"/>
          <w:color w:val="2A3A52"/>
          <w:sz w:val="22"/>
          <w:szCs w:val="22"/>
        </w:rPr>
        <w:t xml:space="preserve">models, and </w:t>
      </w:r>
      <w:r>
        <w:rPr>
          <w:rFonts w:hint="eastAsia" w:ascii="Calibri" w:hAnsi="Calibri" w:eastAsia="宋体" w:cs="Calibri"/>
          <w:color w:val="2A3A52"/>
          <w:sz w:val="22"/>
          <w:szCs w:val="22"/>
          <w:lang w:val="en-US" w:eastAsia="zh-CN"/>
        </w:rPr>
        <w:t>more than</w:t>
      </w:r>
      <w:r>
        <w:rPr>
          <w:rFonts w:ascii="Calibri" w:hAnsi="Calibri" w:eastAsia="Calibri" w:cs="Calibri"/>
          <w:color w:val="2A3A52"/>
          <w:sz w:val="22"/>
          <w:szCs w:val="22"/>
        </w:rPr>
        <w:t xml:space="preserve"> four years as a proprietary PM with full P&amp;L responsibility across Beta and Alpha books at $700mm–$1.4bn AUM. The strategy and its supporting systematic platform were designed and built by Yunfei from inception.</w:t>
      </w:r>
    </w:p>
    <w:p>
      <w:pPr>
        <w:spacing w:before="0" w:after="120"/>
      </w:pPr>
      <w:r>
        <w:rPr>
          <w:rFonts w:ascii="Calibri" w:hAnsi="Calibri" w:eastAsia="Calibri" w:cs="Calibri"/>
          <w:i/>
          <w:iCs/>
          <w:color w:val="8492A6"/>
          <w:sz w:val="20"/>
          <w:szCs w:val="20"/>
        </w:rPr>
        <w:t>A full CV is provided separately.</w:t>
      </w:r>
    </w:p>
    <w:p>
      <w:pPr>
        <w:spacing w:before="0" w:after="80"/>
      </w:pPr>
    </w:p>
    <w:p>
      <w:pPr>
        <w:pBdr>
          <w:bottom w:val="single" w:color="1D4ED8" w:sz="8" w:space="4"/>
        </w:pBdr>
        <w:spacing w:before="600" w:after="160"/>
      </w:pPr>
      <w:r>
        <w:rPr>
          <w:rFonts w:ascii="Consolas" w:hAnsi="Consolas" w:eastAsia="Consolas" w:cs="Consolas"/>
          <w:b/>
          <w:bCs/>
          <w:color w:val="1D4ED8"/>
          <w:spacing w:val="20"/>
          <w:sz w:val="26"/>
          <w:szCs w:val="26"/>
        </w:rPr>
        <w:t>1.  EXECUTIVE SUMMARY</w:t>
      </w:r>
    </w:p>
    <w:p>
      <w:pPr>
        <w:spacing w:before="0" w:after="120"/>
      </w:pPr>
      <w:r>
        <w:rPr>
          <w:rFonts w:hint="eastAsia" w:ascii="Calibri" w:hAnsi="Calibri" w:eastAsia="Calibri" w:cs="Calibri"/>
          <w:color w:val="2A3A52"/>
          <w:sz w:val="22"/>
          <w:szCs w:val="22"/>
        </w:rPr>
        <w:t>This paper outlines the market opportunity for launching an offshore China rates relative value strategy.</w:t>
      </w:r>
      <w:r>
        <w:rPr>
          <w:rFonts w:ascii="Calibri" w:hAnsi="Calibri" w:eastAsia="Calibri" w:cs="Calibri"/>
          <w:color w:val="2A3A52"/>
          <w:sz w:val="22"/>
          <w:szCs w:val="22"/>
        </w:rPr>
        <w:t xml:space="preserve"> The strategy has a live three-year track record run at institutional scale on a proprietary trading desk, is built entirely on publicly observable market data (Wind Financial Terminal API), and carries no dependence on proprietary flow, balance sheet, or primary market access. Its core engine — relative value across</w:t>
      </w:r>
      <w:r>
        <w:rPr>
          <w:rFonts w:hint="eastAsia" w:ascii="Calibri" w:hAnsi="Calibri" w:eastAsia="宋体" w:cs="Calibri"/>
          <w:color w:val="2A3A52"/>
          <w:sz w:val="22"/>
          <w:szCs w:val="22"/>
          <w:lang w:val="en-US" w:eastAsia="zh-CN"/>
        </w:rPr>
        <w:t xml:space="preserve"> </w:t>
      </w:r>
      <w:r>
        <w:rPr>
          <w:rFonts w:ascii="Calibri" w:hAnsi="Calibri" w:eastAsia="Calibri" w:cs="Calibri"/>
          <w:color w:val="2A3A52"/>
          <w:sz w:val="22"/>
          <w:szCs w:val="22"/>
        </w:rPr>
        <w:t>bonds</w:t>
      </w:r>
      <w:r>
        <w:rPr>
          <w:rFonts w:hint="eastAsia" w:ascii="Calibri" w:hAnsi="Calibri" w:eastAsia="宋体" w:cs="Calibri"/>
          <w:color w:val="2A3A52"/>
          <w:sz w:val="22"/>
          <w:szCs w:val="22"/>
          <w:lang w:val="en-US" w:eastAsia="zh-CN"/>
        </w:rPr>
        <w:t>-swaps-</w:t>
      </w:r>
      <w:r>
        <w:rPr>
          <w:rFonts w:ascii="Calibri" w:hAnsi="Calibri" w:eastAsia="Calibri" w:cs="Calibri"/>
          <w:color w:val="2A3A52"/>
          <w:sz w:val="22"/>
          <w:szCs w:val="22"/>
        </w:rPr>
        <w:t>futures — transfers to an offshore platform with no change to the signal framework.</w:t>
      </w:r>
    </w:p>
    <w:p>
      <w:pPr>
        <w:spacing w:before="0" w:after="80"/>
      </w:pPr>
    </w:p>
    <w:p>
      <w:pPr>
        <w:spacing w:before="280" w:after="100"/>
      </w:pPr>
      <w:r>
        <w:rPr>
          <w:rFonts w:ascii="Calibri" w:hAnsi="Calibri" w:eastAsia="Calibri" w:cs="Calibri"/>
          <w:b/>
          <w:bCs/>
          <w:color w:val="0D1525"/>
          <w:sz w:val="26"/>
          <w:szCs w:val="26"/>
        </w:rPr>
        <w:t>Proposal at a Glance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4"/>
        <w:gridCol w:w="77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Dimension</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Strategy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Systematic China fixed income</w:t>
            </w:r>
            <w:r>
              <w:rPr>
                <w:rFonts w:hint="eastAsia" w:ascii="Calibri" w:hAnsi="Calibri" w:eastAsia="宋体" w:cs="Calibri"/>
                <w:color w:val="2A3A52"/>
                <w:sz w:val="20"/>
                <w:szCs w:val="20"/>
                <w:lang w:val="en-US" w:eastAsia="zh-CN"/>
              </w:rPr>
              <w:t xml:space="preserve"> market beta &amp;</w:t>
            </w:r>
            <w:r>
              <w:rPr>
                <w:rFonts w:ascii="Calibri" w:hAnsi="Calibri" w:eastAsia="Calibri" w:cs="Calibri"/>
                <w:color w:val="2A3A52"/>
                <w:sz w:val="20"/>
                <w:szCs w:val="20"/>
              </w:rPr>
              <w:t xml:space="preserve"> RV — curve, asset swap, futures basis, on/off-the-run, inter-sector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Live Track Record</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3 years (2023–2025); $700mm → $1.4bn AUM on proprietary desk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Alpha Book Sharpe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1.50–1.81 (3-year average 1.68); max drawdown ≤1.8% in any year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Total Portfolio Sharpe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2.27–3.57 (combined Beta + Alpha); 3-year average 2.72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Initial AUM Target</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$200–500mm viable; signal quality independent of AUM within this 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Offshore Instruments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Bond Connect (cash) + Swap Connect (IRS) + QFII futures (Apr 2026, hedging)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Systematic Platform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Proprietary AtlasNexus; Wind API data; live in production — transfers with mandate</w:t>
            </w:r>
          </w:p>
        </w:tc>
      </w:tr>
    </w:tbl>
    <w:p>
      <w:pPr>
        <w:spacing w:before="0" w:after="80"/>
      </w:pPr>
    </w:p>
    <w:p>
      <w:pPr>
        <w:rPr>
          <w:rFonts w:ascii="Calibri" w:hAnsi="Calibri" w:eastAsia="Calibri" w:cs="Calibri"/>
          <w:b/>
          <w:bCs/>
          <w:color w:val="0D1525"/>
          <w:sz w:val="26"/>
          <w:szCs w:val="26"/>
        </w:rPr>
      </w:pPr>
      <w:r>
        <w:rPr>
          <w:rFonts w:ascii="Calibri" w:hAnsi="Calibri" w:eastAsia="Calibri" w:cs="Calibri"/>
          <w:b/>
          <w:bCs/>
          <w:color w:val="0D1525"/>
          <w:sz w:val="26"/>
          <w:szCs w:val="26"/>
        </w:rPr>
        <w:br w:type="page"/>
      </w:r>
    </w:p>
    <w:p>
      <w:pPr>
        <w:spacing w:before="280" w:after="100"/>
      </w:pPr>
      <w:r>
        <w:rPr>
          <w:rFonts w:ascii="Calibri" w:hAnsi="Calibri" w:eastAsia="Calibri" w:cs="Calibri"/>
          <w:b/>
          <w:bCs/>
          <w:color w:val="0D1525"/>
          <w:sz w:val="26"/>
          <w:szCs w:val="26"/>
        </w:rPr>
        <w:t>Why Now</w:t>
      </w:r>
    </w:p>
    <w:p>
      <w:pPr>
        <w:pStyle w:val="14"/>
        <w:numPr>
          <w:ilvl w:val="0"/>
          <w:numId w:val="1"/>
        </w:numPr>
        <w:spacing w:before="0" w:after="60"/>
      </w:pPr>
      <w:r>
        <w:rPr>
          <w:rFonts w:ascii="Calibri" w:hAnsi="Calibri" w:eastAsia="Calibri" w:cs="Calibri"/>
          <w:color w:val="2A3A52"/>
          <w:sz w:val="22"/>
          <w:szCs w:val="22"/>
        </w:rPr>
        <w:t>Policy divergence: China's rate cycle is structurally decoupled from DM markets — the PBOC maintained an easing stance through a period of 4–5% G10 rates, producing persistent uncrowded RV dislocations.</w:t>
      </w:r>
    </w:p>
    <w:p>
      <w:pPr>
        <w:pStyle w:val="14"/>
        <w:numPr>
          <w:ilvl w:val="0"/>
          <w:numId w:val="1"/>
        </w:numPr>
        <w:spacing w:before="0" w:after="60"/>
      </w:pPr>
      <w:r>
        <w:rPr>
          <w:rFonts w:ascii="Calibri" w:hAnsi="Calibri" w:eastAsia="Calibri" w:cs="Calibri"/>
          <w:color w:val="2A3A52"/>
          <w:sz w:val="22"/>
          <w:szCs w:val="22"/>
        </w:rPr>
        <w:t>Under-owned market: ~$25tn China onshore bond market (world's second largest) with ~2.7% total foreign ownership and ~6% of CGBs, versus ~10% weight in the JPM GBI-EM GD index. Multi-year structural inflow story.</w:t>
      </w:r>
    </w:p>
    <w:p>
      <w:pPr>
        <w:pStyle w:val="14"/>
        <w:numPr>
          <w:ilvl w:val="0"/>
          <w:numId w:val="1"/>
        </w:numPr>
        <w:spacing w:before="0" w:after="60"/>
      </w:pPr>
      <w:r>
        <w:rPr>
          <w:rFonts w:ascii="Calibri" w:hAnsi="Calibri" w:eastAsia="Calibri" w:cs="Calibri"/>
          <w:color w:val="2A3A52"/>
          <w:sz w:val="22"/>
          <w:szCs w:val="22"/>
        </w:rPr>
        <w:t>Access inflection: QFII access to CGB futures opened April 24, 2026 — the first material offshore rates instrument expansion since Swap Connect.</w:t>
      </w:r>
    </w:p>
    <w:p>
      <w:pPr>
        <w:pStyle w:val="14"/>
        <w:numPr>
          <w:ilvl w:val="0"/>
          <w:numId w:val="1"/>
        </w:numPr>
        <w:spacing w:before="0" w:after="60"/>
      </w:pPr>
      <w:r>
        <w:rPr>
          <w:rFonts w:ascii="Calibri" w:hAnsi="Calibri" w:eastAsia="Calibri" w:cs="Calibri"/>
          <w:color w:val="2A3A52"/>
          <w:sz w:val="22"/>
          <w:szCs w:val="22"/>
        </w:rPr>
        <w:t xml:space="preserve">Uncrowded edge: Operating Bond Connect, Swap Connect, and QFII simultaneously requires infrastructure that most offshore managers have not built. </w:t>
      </w:r>
    </w:p>
    <w:p>
      <w:r>
        <w:br w:type="page"/>
      </w:r>
    </w:p>
    <w:p>
      <w:pPr>
        <w:pBdr>
          <w:bottom w:val="single" w:color="1D4ED8" w:sz="8" w:space="4"/>
        </w:pBdr>
        <w:spacing w:before="600" w:after="160"/>
      </w:pPr>
      <w:r>
        <w:rPr>
          <w:rFonts w:ascii="Consolas" w:hAnsi="Consolas" w:eastAsia="Consolas" w:cs="Consolas"/>
          <w:b/>
          <w:bCs/>
          <w:color w:val="1D4ED8"/>
          <w:spacing w:val="20"/>
          <w:sz w:val="26"/>
          <w:szCs w:val="26"/>
        </w:rPr>
        <w:t>2.  TRACK RECORD  (2023–2025)</w:t>
      </w:r>
    </w:p>
    <w:p>
      <w:pPr>
        <w:spacing w:before="0" w:after="120"/>
      </w:pPr>
      <w:r>
        <w:rPr>
          <w:rFonts w:ascii="Calibri" w:hAnsi="Calibri" w:eastAsia="Calibri" w:cs="Calibri"/>
          <w:color w:val="2A3A52"/>
          <w:sz w:val="22"/>
          <w:szCs w:val="22"/>
        </w:rPr>
        <w:t>Three complete calendar years at institutional scale on a proprietary desk. Performance split by Total Portfolio, Beta Book, and Alpha Book. The offshore mandate focuses on the Alpha Book — DV01-neutral RV, structurally market-neutral.</w:t>
      </w:r>
    </w:p>
    <w:p>
      <w:pPr>
        <w:spacing w:before="0" w:after="8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D97706" w:sz="24" w:space="0"/>
              <w:bottom w:val="nil"/>
              <w:right w:val="nil"/>
            </w:tcBorders>
            <w:shd w:val="clear" w:color="auto" w:fill="FFF9E6"/>
            <w:tcMar>
              <w:top w:w="120" w:type="dxa"/>
              <w:left w:w="180" w:type="dxa"/>
              <w:bottom w:w="120" w:type="dxa"/>
              <w:right w:w="180" w:type="dxa"/>
            </w:tcMar>
          </w:tcPr>
          <w:p>
            <w:pPr>
              <w:spacing w:before="0" w:after="80"/>
            </w:pPr>
            <w:r>
              <w:rPr>
                <w:rFonts w:ascii="Consolas" w:hAnsi="Consolas" w:eastAsia="Consolas" w:cs="Consolas"/>
                <w:color w:val="D97706"/>
                <w:sz w:val="18"/>
                <w:szCs w:val="18"/>
              </w:rPr>
              <w:t>REPORTING BASIS</w:t>
            </w:r>
          </w:p>
          <w:p>
            <w:pPr>
              <w:spacing w:before="0" w:after="0"/>
            </w:pPr>
            <w:r>
              <w:rPr>
                <w:rFonts w:ascii="Calibri" w:hAnsi="Calibri" w:eastAsia="Calibri" w:cs="Calibri"/>
                <w:color w:val="2A3A52"/>
                <w:sz w:val="20"/>
                <w:szCs w:val="20"/>
              </w:rPr>
              <w:t xml:space="preserve">Returns and P&amp;L in USD-equivalent (CNY translated at prevailing spot). Sharpe ratios use the prevailing onshore CNY RFR as denominator (avg 2.10% in 2023; 2.0% in 2024; 1.55% in 2025). For a USD offshore fund, FX hedge costs (~50–100bps) reduce net USD returns; the Sharpe profile is maintained because the hedge cost is stable and budgetable. </w:t>
            </w:r>
          </w:p>
        </w:tc>
      </w:tr>
    </w:tbl>
    <w:p>
      <w:pPr>
        <w:spacing w:before="0" w:after="80"/>
      </w:pPr>
    </w:p>
    <w:p>
      <w:pPr>
        <w:spacing w:before="280" w:after="100"/>
      </w:pPr>
      <w:r>
        <w:rPr>
          <w:rFonts w:ascii="Calibri" w:hAnsi="Calibri" w:eastAsia="Calibri" w:cs="Calibri"/>
          <w:b/>
          <w:bCs/>
          <w:color w:val="0D1525"/>
          <w:sz w:val="26"/>
          <w:szCs w:val="26"/>
        </w:rPr>
        <w:t>2025 — Volatile; H2 Bear Reversal   ·   AUM ~$1.4bn   ·   RFR 1.55%</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7"/>
        <w:gridCol w:w="874"/>
        <w:gridCol w:w="1567"/>
        <w:gridCol w:w="904"/>
        <w:gridCol w:w="677"/>
        <w:gridCol w:w="874"/>
        <w:gridCol w:w="8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Book</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Return</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Excess vs RFR</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Vol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Max DD</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Sharpe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Total Portfolio</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3.6%</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205 bp</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$51mm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0.9%</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1.6%</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Beta Book</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2.1%</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55 bp</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$30mm</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1.2%</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1.8%</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Alpha Book</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1.5%</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150 bp</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$21mm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1.0%</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1.2%</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1.50</w:t>
            </w:r>
          </w:p>
        </w:tc>
      </w:tr>
    </w:tbl>
    <w:p>
      <w:pPr>
        <w:spacing w:before="0" w:after="80"/>
      </w:pPr>
      <w:r>
        <w:rPr>
          <w:rFonts w:ascii="Calibri" w:hAnsi="Calibri" w:eastAsia="Calibri" w:cs="Calibri"/>
          <w:i/>
          <w:iCs/>
          <w:color w:val="8492A6"/>
          <w:sz w:val="19"/>
          <w:szCs w:val="19"/>
        </w:rPr>
        <w:t>Alpha return denominated on $1.4bn total AUM. On ~$700mm alpha notional-equivalent the return was ~3.0%.</w:t>
      </w:r>
    </w:p>
    <w:p>
      <w:pPr>
        <w:spacing w:before="0" w:after="80"/>
      </w:pPr>
    </w:p>
    <w:p>
      <w:pPr>
        <w:spacing w:before="280" w:after="100"/>
      </w:pPr>
      <w:r>
        <w:rPr>
          <w:rFonts w:ascii="Calibri" w:hAnsi="Calibri" w:eastAsia="Calibri" w:cs="Calibri"/>
          <w:b/>
          <w:bCs/>
          <w:color w:val="0D1525"/>
          <w:sz w:val="26"/>
          <w:szCs w:val="26"/>
        </w:rPr>
        <w:t>2024 — Historic CGB Bull Market (10Y −85bps)   ·   AUM ~$700mm   ·   RFR 2.0%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7"/>
        <w:gridCol w:w="874"/>
        <w:gridCol w:w="1567"/>
        <w:gridCol w:w="904"/>
        <w:gridCol w:w="677"/>
        <w:gridCol w:w="874"/>
        <w:gridCol w:w="8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Book</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Return</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Excess vs RFR</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Vol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Max DD</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Sharpe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Total Portfolio</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9.5%</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750 bp</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$67mm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2.1%</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2.2%</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3.57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Beta Book</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6.6%</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460 bp</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$46mm</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2.4%</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2.6%</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Alpha Book</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2.9%</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290 bp</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$21mm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1.6%</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1.8%</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1.81</w:t>
            </w:r>
          </w:p>
        </w:tc>
      </w:tr>
    </w:tbl>
    <w:p>
      <w:pPr>
        <w:spacing w:before="0" w:after="80"/>
      </w:pPr>
    </w:p>
    <w:p>
      <w:pPr>
        <w:spacing w:before="280" w:after="100"/>
      </w:pPr>
      <w:r>
        <w:rPr>
          <w:rFonts w:ascii="Calibri" w:hAnsi="Calibri" w:eastAsia="Calibri" w:cs="Calibri"/>
          <w:b/>
          <w:bCs/>
          <w:color w:val="0D1525"/>
          <w:sz w:val="26"/>
          <w:szCs w:val="26"/>
        </w:rPr>
        <w:t>2023 — Moderate PBOC Easing   ·   AUM ~$700mm   ·   RFR 2.10%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7"/>
        <w:gridCol w:w="874"/>
        <w:gridCol w:w="1567"/>
        <w:gridCol w:w="904"/>
        <w:gridCol w:w="677"/>
        <w:gridCol w:w="874"/>
        <w:gridCol w:w="8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Book</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Return</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Excess vs RFR</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Vol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Max DD</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Sharpe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Total Portfolio</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4.9%</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280 bp</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$35mm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1.2%</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2.0%</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Beta Book</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3.0%</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90 bp</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$21mm</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1.2%</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2.1%</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Alpha Book</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1.9%</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190 bp</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$14mm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1.1%</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1.6%</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1.73</w:t>
            </w:r>
          </w:p>
        </w:tc>
      </w:tr>
    </w:tbl>
    <w:p>
      <w:pPr>
        <w:spacing w:before="0" w:after="80"/>
      </w:pPr>
    </w:p>
    <w:p>
      <w:pPr>
        <w:spacing w:before="280" w:after="100"/>
      </w:pPr>
      <w:r>
        <w:rPr>
          <w:rFonts w:ascii="Calibri" w:hAnsi="Calibri" w:eastAsia="Calibri" w:cs="Calibri"/>
          <w:b/>
          <w:bCs/>
          <w:color w:val="0D1525"/>
          <w:sz w:val="26"/>
          <w:szCs w:val="26"/>
        </w:rPr>
        <w:t>Three-Year Alpha Summary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9"/>
        <w:gridCol w:w="904"/>
        <w:gridCol w:w="904"/>
        <w:gridCol w:w="904"/>
        <w:gridCol w:w="1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Metric</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2023</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2024</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2025</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3-Year Avg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Alpha Sharpe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1.73</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1.81</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1.50</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Excess Return</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190 bp</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290 bp</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150 bp</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210 bp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Annual P&amp;L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$14mm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$21mm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$21mm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$18.7mm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Max Drawdown</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1.6%</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1.8%</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1.2%</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Total Portfolio Sharpe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2.33</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3.57</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2.27</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2.72</w:t>
            </w:r>
          </w:p>
        </w:tc>
      </w:tr>
    </w:tbl>
    <w:p>
      <w:pPr>
        <w:spacing w:before="0" w:after="80"/>
      </w:pPr>
    </w:p>
    <w:p>
      <w:pPr>
        <w:spacing w:before="0" w:after="120"/>
      </w:pPr>
      <w:r>
        <w:rPr>
          <w:rFonts w:ascii="Calibri" w:hAnsi="Calibri" w:eastAsia="Calibri" w:cs="Calibri"/>
          <w:b/>
          <w:bCs/>
          <w:color w:val="0D1525"/>
          <w:sz w:val="22"/>
          <w:szCs w:val="22"/>
        </w:rPr>
        <w:t xml:space="preserve">AUM scaling note.  </w:t>
      </w:r>
      <w:r>
        <w:rPr>
          <w:rFonts w:ascii="Calibri" w:hAnsi="Calibri" w:eastAsia="Calibri" w:cs="Calibri"/>
          <w:color w:val="2A3A52"/>
          <w:sz w:val="22"/>
          <w:szCs w:val="22"/>
        </w:rPr>
        <w:t>The alpha book was run at a consistent notional DV01 (~$700mm) across all three years, even as total AUM doubled to $1.4bn in 2025. Alpha P&amp;L held at $21mm in both 2024 and 2025; the 2025 return % fell because the AUM denominator doubled, not because the strategy degraded. For an offshore launch at $200–500mm, proportional P&amp;L of $4–15mm per annum is the base case, Sharpe profile maintained.</w:t>
      </w:r>
    </w:p>
    <w:p>
      <w:pPr>
        <w:spacing w:before="0" w:after="120"/>
      </w:pPr>
      <w:r>
        <w:rPr>
          <w:rFonts w:ascii="Calibri" w:hAnsi="Calibri" w:eastAsia="Calibri" w:cs="Calibri"/>
          <w:b/>
          <w:bCs/>
          <w:color w:val="0D1525"/>
          <w:sz w:val="22"/>
          <w:szCs w:val="22"/>
        </w:rPr>
        <w:t xml:space="preserve">Combined vs alpha-only Sharpe.  </w:t>
      </w:r>
      <w:r>
        <w:rPr>
          <w:rFonts w:ascii="Calibri" w:hAnsi="Calibri" w:eastAsia="Calibri" w:cs="Calibri"/>
          <w:color w:val="2A3A52"/>
          <w:sz w:val="22"/>
          <w:szCs w:val="22"/>
        </w:rPr>
        <w:t>The total portfolio Sharpe (2.27–3.57) exceeds either book individually because the Beta and Alpha books are partially decorrelated — total vol in 2025 (0.9%) is below both beta vol (1.2%) and alpha vol (1.0%). The relevant comparison for an offshore alpha mandate is the alpha-only Sharpe: 1.68 average.</w:t>
      </w:r>
    </w:p>
    <w:p>
      <w:r>
        <w:br w:type="page"/>
      </w:r>
    </w:p>
    <w:p>
      <w:pPr>
        <w:pBdr>
          <w:bottom w:val="single" w:color="1D4ED8" w:sz="8" w:space="4"/>
        </w:pBdr>
        <w:spacing w:before="600" w:after="160"/>
      </w:pPr>
      <w:r>
        <w:rPr>
          <w:rFonts w:ascii="Consolas" w:hAnsi="Consolas" w:eastAsia="Consolas" w:cs="Consolas"/>
          <w:b/>
          <w:bCs/>
          <w:color w:val="1D4ED8"/>
          <w:spacing w:val="20"/>
          <w:sz w:val="26"/>
          <w:szCs w:val="26"/>
        </w:rPr>
        <w:t>3.  PORTFOLIO ARCHITECTURE &amp; SIGNAL FRAMEWORK</w:t>
      </w:r>
    </w:p>
    <w:p>
      <w:pPr>
        <w:spacing w:before="280" w:after="100"/>
      </w:pPr>
      <w:r>
        <w:rPr>
          <w:rFonts w:ascii="Calibri" w:hAnsi="Calibri" w:eastAsia="Calibri" w:cs="Calibri"/>
          <w:b/>
          <w:bCs/>
          <w:color w:val="0D1525"/>
          <w:sz w:val="26"/>
          <w:szCs w:val="26"/>
        </w:rPr>
        <w:t>Dual-Book Design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8"/>
        <w:gridCol w:w="4858"/>
        <w:gridCol w:w="2205"/>
        <w:gridCol w:w="18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Book</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Objective</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Sizing</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Offshore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Beta</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Systematic exposure to rate curve factors (level, slope, curvature), credit spreads, FX, commodities. Factor exposures measured and hedged daily to pre-set DV01 limits.</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Risk budgets adjusted daily via factor models</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Optional overlay; not primary mandate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Alpha</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DV01-neutral RV: pure spread alpha from curve pairs, basis pairs, OTR/OFR pairs, and asset swaps. Portfolio DV01 neutrality maintained at all times.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Risk parity; max 20% DV01/trade; correlation-filtered</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Primary offshore mandate. Market-neutral.</w:t>
            </w:r>
          </w:p>
        </w:tc>
      </w:tr>
    </w:tbl>
    <w:p>
      <w:pPr>
        <w:spacing w:before="0" w:after="80"/>
      </w:pPr>
    </w:p>
    <w:p>
      <w:pPr>
        <w:spacing w:before="280" w:after="100"/>
      </w:pPr>
      <w:r>
        <w:rPr>
          <w:rFonts w:ascii="Calibri" w:hAnsi="Calibri" w:eastAsia="Calibri" w:cs="Calibri"/>
          <w:b/>
          <w:bCs/>
          <w:color w:val="0D1525"/>
          <w:sz w:val="26"/>
          <w:szCs w:val="26"/>
        </w:rPr>
        <w:t>Alpha Signal Framework</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1"/>
        <w:gridCol w:w="4360"/>
        <w:gridCol w:w="35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Signal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Mechanism</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Entry / 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Carry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Net carry/roll in bps/month; favours positive-carry spread structures</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Carry threshold at entry; monitored continuously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Z-Score (mean-reversion)</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Spread vs rolling-window mean, normalised via no-arbitrage affine yield curve models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Entry ≥+1.5–2.3σ; exit at ≤0.3σ; stop-loss at &gt;1σ adverse move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Trend Strength</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Directional factor-model prediction; prevents mean-reversion entry into trending markets</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Composite score threshold determines entry; score drop triggers exit</w:t>
            </w:r>
          </w:p>
        </w:tc>
      </w:tr>
    </w:tbl>
    <w:p>
      <w:pPr>
        <w:spacing w:before="0" w:after="80"/>
      </w:pPr>
    </w:p>
    <w:p>
      <w:pPr>
        <w:spacing w:before="280" w:after="100"/>
      </w:pPr>
      <w:r>
        <w:rPr>
          <w:rFonts w:ascii="Calibri" w:hAnsi="Calibri" w:eastAsia="Calibri" w:cs="Calibri"/>
          <w:b/>
          <w:bCs/>
          <w:color w:val="0D1525"/>
          <w:sz w:val="26"/>
          <w:szCs w:val="26"/>
        </w:rPr>
        <w:t>Daily Selection Process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6"/>
        <w:gridCol w:w="1782"/>
        <w:gridCol w:w="6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Step</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Action</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Screen universe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All active curve spread pairs, basis pairs, OTR/OFR pairs across tenors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2</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Composite scoring</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Rank all trades by composite signal score; select top 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3</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Correlation filter</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Select top 10 low-correlation trades; check against open positions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4</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Sizing</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Allocate within risk budgets via risk parity; 20% portfolio DV01 cap per trade</w:t>
            </w:r>
          </w:p>
        </w:tc>
      </w:tr>
    </w:tbl>
    <w:p>
      <w:pPr>
        <w:spacing w:before="0" w:after="80"/>
      </w:pPr>
      <w:r>
        <w:rPr>
          <w:rFonts w:ascii="Calibri" w:hAnsi="Calibri" w:eastAsia="Calibri" w:cs="Calibri"/>
          <w:i/>
          <w:iCs/>
          <w:color w:val="8492A6"/>
          <w:sz w:val="19"/>
          <w:szCs w:val="19"/>
        </w:rPr>
        <w:t>Average holding period: 2–3 months. Exit: mean-reverting — z-score ≤0.3σ; directional — score drops below threshold. Stop-loss: spread moves adversely &gt;1σ beyond entry.</w:t>
      </w:r>
    </w:p>
    <w:p>
      <w:pPr>
        <w:spacing w:before="0" w:after="80"/>
      </w:pPr>
    </w:p>
    <w:p>
      <w:pPr>
        <w:spacing w:before="280" w:after="100"/>
      </w:pPr>
      <w:r>
        <w:rPr>
          <w:rFonts w:ascii="Calibri" w:hAnsi="Calibri" w:eastAsia="Calibri" w:cs="Calibri"/>
          <w:b/>
          <w:bCs/>
          <w:color w:val="0D1525"/>
          <w:sz w:val="26"/>
          <w:szCs w:val="26"/>
        </w:rPr>
        <w:t>Systematic Platform &amp; Data</w:t>
      </w:r>
    </w:p>
    <w:p>
      <w:pPr>
        <w:spacing w:before="0" w:after="120"/>
      </w:pPr>
      <w:r>
        <w:rPr>
          <w:rFonts w:ascii="Calibri" w:hAnsi="Calibri" w:eastAsia="Calibri" w:cs="Calibri"/>
          <w:color w:val="2A3A52"/>
          <w:sz w:val="22"/>
          <w:szCs w:val="22"/>
        </w:rPr>
        <w:t>The strategy is supported by a proprietary systematic investment platform designed and operated by Yunfei across the full three-year track record period — covering market data ingestion, curve analytics, signal generation, portfolio construction, risk monitoring, and execution workflow. It transfers with the mandate. Market data is sourced via the Wind Financial Terminal API. Wind licences are standard for qualified institutional investors operating in onshore Chinese markets and are fully portable to a fund structure.</w:t>
      </w:r>
    </w:p>
    <w:p>
      <w:r>
        <w:br w:type="page"/>
      </w:r>
    </w:p>
    <w:p>
      <w:pPr>
        <w:pBdr>
          <w:bottom w:val="single" w:color="1D4ED8" w:sz="8" w:space="4"/>
        </w:pBdr>
        <w:spacing w:before="600" w:after="160"/>
      </w:pPr>
      <w:r>
        <w:rPr>
          <w:rFonts w:ascii="Consolas" w:hAnsi="Consolas" w:eastAsia="Consolas" w:cs="Consolas"/>
          <w:b/>
          <w:bCs/>
          <w:color w:val="1D4ED8"/>
          <w:spacing w:val="20"/>
          <w:sz w:val="26"/>
          <w:szCs w:val="26"/>
        </w:rPr>
        <w:t>4.  OFFSHORE DEPLOYMENT</w:t>
      </w:r>
    </w:p>
    <w:p>
      <w:pPr>
        <w:spacing w:before="280" w:after="100"/>
      </w:pPr>
      <w:r>
        <w:rPr>
          <w:rFonts w:ascii="Calibri" w:hAnsi="Calibri" w:eastAsia="Calibri" w:cs="Calibri"/>
          <w:b/>
          <w:bCs/>
          <w:color w:val="0D1525"/>
          <w:sz w:val="26"/>
          <w:szCs w:val="26"/>
        </w:rPr>
        <w:t>4.1  Operating Environment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5"/>
        <w:gridCol w:w="7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Constraint</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Implication for Strategy Design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Bond Connect + Swap Connect (base)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Cash longs and both-way IRS available; no futures via these channels. IRS is the primary tool for rate views and curve trades without bond borrow.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Repo expensive / bond borrow scarce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Shorting cash bonds impractical at scale. Strategies requiring a cash short (curve flatteners, OTR/OFR, inter-sector) are constrained today.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USD base / high funding cost</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Funded cash positions carry opportunity cost. Margin-based instruments strongly preferred. FX-hedging bond principal largely offsets funding drag via CIP.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QFII futures: hedging-only (Apr 2026)</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Accessible for hedging QFII/CIBM Direct-held positions only. Speculative/RV use not currently permitted; Bond Connect holdings excluded from hedge collateral.</w:t>
            </w:r>
          </w:p>
        </w:tc>
      </w:tr>
    </w:tbl>
    <w:p>
      <w:pPr>
        <w:spacing w:before="0" w:after="80"/>
      </w:pPr>
    </w:p>
    <w:p>
      <w:pPr>
        <w:spacing w:before="280" w:after="100"/>
      </w:pPr>
      <w:r>
        <w:rPr>
          <w:rFonts w:ascii="Calibri" w:hAnsi="Calibri" w:eastAsia="Calibri" w:cs="Calibri"/>
          <w:b/>
          <w:bCs/>
          <w:color w:val="0D1525"/>
          <w:sz w:val="26"/>
          <w:szCs w:val="26"/>
        </w:rPr>
        <w:t>4.2  Transferability Matrix</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1"/>
        <w:gridCol w:w="3322"/>
        <w:gridCol w:w="1388"/>
        <w:gridCol w:w="3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Strategy</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Offshore Expression</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Status</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Note</w:t>
            </w:r>
          </w:p>
        </w:tc>
      </w:tr>
      <w:tr>
        <w:tblPrEx>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Asset Swap (ASW)</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Long cash CGB (Bond Connect) + pay fixed IRS (Swap Connect)</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 Now</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No short leg, no repo. FX-hedge principal via CNH forwards.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IRS Curve RV</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Receive/pay FR007 IRS across tenors (Swap Connect)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 Now</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Margin-only; minimal FX; highest Sharpe per unit of capital.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Directional / Macro</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Duration via FR007 IRS (Swap Connect)</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 Now</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Capital-efficient; no funded bond principal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Bond Curve steepeners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Long long-end cash + duration hedge via IRS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 Partial</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Flatteners need a cash short; express via IRS curve instead.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QFII Futures (hedging)</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Duration hedge of QFII/CIBM Direct-held cash</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 Apr 2026</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Hedging-only per CSRC; Bond Connect holdings excluded.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Futures Basis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Long CTD cash (QFII) + short futures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 Conditional</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Requires QFII-held cash. Feasible with dual-channel setup.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OTR / OFR Residual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Long OFR + short OTR at matched DV01</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 Constrained</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Short leg requires repo/borrow — scarce offshore today.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CGB-CDB Inter-Sector</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Long one issuer + short the other</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 Constrained</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Short leg needs repo. Long-only partial expression possible.</w:t>
            </w:r>
          </w:p>
        </w:tc>
      </w:tr>
    </w:tbl>
    <w:p>
      <w:pPr>
        <w:spacing w:before="0" w:after="80"/>
      </w:pPr>
    </w:p>
    <w:p>
      <w:pPr>
        <w:spacing w:before="280" w:after="100"/>
      </w:pPr>
      <w:r>
        <w:rPr>
          <w:rFonts w:ascii="Calibri" w:hAnsi="Calibri" w:eastAsia="Calibri" w:cs="Calibri"/>
          <w:b/>
          <w:bCs/>
          <w:color w:val="0D1525"/>
          <w:sz w:val="26"/>
          <w:szCs w:val="26"/>
        </w:rPr>
        <w:t>4.3  Core Strategies in Detail</w:t>
      </w:r>
    </w:p>
    <w:p>
      <w:pPr>
        <w:spacing w:before="200" w:after="80"/>
      </w:pPr>
      <w:r>
        <w:rPr>
          <w:rFonts w:ascii="Calibri" w:hAnsi="Calibri" w:eastAsia="Calibri" w:cs="Calibri"/>
          <w:b/>
          <w:bCs/>
          <w:color w:val="2A3A52"/>
          <w:sz w:val="24"/>
          <w:szCs w:val="24"/>
        </w:rPr>
        <w:t>Asset Swap Spread (ASW) — Flagship Transfer</w:t>
      </w:r>
    </w:p>
    <w:p>
      <w:pPr>
        <w:spacing w:before="0" w:after="120"/>
      </w:pPr>
      <w:r>
        <w:rPr>
          <w:rFonts w:ascii="Calibri" w:hAnsi="Calibri" w:eastAsia="Calibri" w:cs="Calibri"/>
          <w:color w:val="2A3A52"/>
          <w:sz w:val="22"/>
          <w:szCs w:val="22"/>
        </w:rPr>
        <w:t>Long cash CGB via Bond Connect, pay fixed FR007 IRS via Swap Connect, bond principal FX-hedged via rolling 3M CNH forwards. The ASW spread isolates the basis between cash yields and swap rates — mean-reverting and exploitable when either market moves faster than the other.</w:t>
      </w:r>
    </w:p>
    <w:p>
      <w:pPr>
        <w:spacing w:before="0" w:after="120"/>
      </w:pPr>
      <w:r>
        <w:rPr>
          <w:rFonts w:ascii="Calibri" w:hAnsi="Calibri" w:eastAsia="Calibri" w:cs="Calibri"/>
          <w:b/>
          <w:bCs/>
          <w:color w:val="0D1525"/>
          <w:sz w:val="22"/>
          <w:szCs w:val="22"/>
        </w:rPr>
        <w:t xml:space="preserve">FX insight: </w:t>
      </w:r>
      <w:r>
        <w:rPr>
          <w:rFonts w:ascii="Calibri" w:hAnsi="Calibri" w:eastAsia="Calibri" w:cs="Calibri"/>
          <w:color w:val="2A3A52"/>
          <w:sz w:val="22"/>
          <w:szCs w:val="22"/>
        </w:rPr>
        <w:t>after FX-hedging the bond principal, the cash bond earns approximately USD SOFR via covered interest parity. The high USD funding cost is therefore largely offset by the hedge and does not erode the ASW spread alpha — funding constrains size, not per-trade economics.</w:t>
      </w:r>
    </w:p>
    <w:p>
      <w:pPr>
        <w:spacing w:before="200" w:after="80"/>
      </w:pPr>
      <w:r>
        <w:rPr>
          <w:rFonts w:ascii="Calibri" w:hAnsi="Calibri" w:eastAsia="Calibri" w:cs="Calibri"/>
          <w:b/>
          <w:bCs/>
          <w:color w:val="2A3A52"/>
          <w:sz w:val="24"/>
          <w:szCs w:val="24"/>
        </w:rPr>
        <w:t>IRS Curve RV — Highest Capital Efficiency</w:t>
      </w:r>
    </w:p>
    <w:p>
      <w:pPr>
        <w:spacing w:before="0" w:after="120"/>
      </w:pPr>
      <w:r>
        <w:rPr>
          <w:rFonts w:ascii="Calibri" w:hAnsi="Calibri" w:eastAsia="Calibri" w:cs="Calibri"/>
          <w:color w:val="2A3A52"/>
          <w:sz w:val="22"/>
          <w:szCs w:val="22"/>
        </w:rPr>
        <w:t>Receive/pay FR007 IRS across tenors via Swap Connect. Because swaps exchange no principal, this is the most capital-efficient and FX-clean strategy in the offshore book — margin only, no funded bond, no repo, no principal FX hedge. It scales freely and is the natural core of the offshore book.</w:t>
      </w:r>
    </w:p>
    <w:p>
      <w:pPr>
        <w:spacing w:before="200" w:after="80"/>
      </w:pPr>
      <w:r>
        <w:rPr>
          <w:rFonts w:ascii="Calibri" w:hAnsi="Calibri" w:eastAsia="Calibri" w:cs="Calibri"/>
          <w:b/>
          <w:bCs/>
          <w:color w:val="2A3A52"/>
          <w:sz w:val="24"/>
          <w:szCs w:val="24"/>
        </w:rPr>
        <w:t>FX Overlay</w:t>
      </w:r>
    </w:p>
    <w:p>
      <w:pPr>
        <w:spacing w:before="0" w:after="120"/>
      </w:pPr>
      <w:r>
        <w:rPr>
          <w:rFonts w:ascii="Calibri" w:hAnsi="Calibri" w:eastAsia="Calibri" w:cs="Calibri"/>
          <w:color w:val="2A3A52"/>
          <w:sz w:val="22"/>
          <w:szCs w:val="22"/>
        </w:rPr>
        <w:t>RV spread P&amp;L is approximately FX-neutral (both legs CNY). The only FX exposure is the net CNY principal of funded cash positions. Hedge via rolling 3M CNH forwards; cost equals the USD–CNH CIP differential — a stable, budgetable carry. Centralise FX netting across strategies and hedge the residual.</w:t>
      </w:r>
    </w:p>
    <w:p>
      <w:pPr>
        <w:spacing w:before="0" w:after="80"/>
      </w:pPr>
    </w:p>
    <w:p>
      <w:pPr>
        <w:spacing w:before="280" w:after="100"/>
      </w:pPr>
      <w:r>
        <w:rPr>
          <w:rFonts w:ascii="Calibri" w:hAnsi="Calibri" w:eastAsia="Calibri" w:cs="Calibri"/>
          <w:b/>
          <w:bCs/>
          <w:color w:val="0D1525"/>
          <w:sz w:val="26"/>
          <w:szCs w:val="26"/>
        </w:rPr>
        <w:t>4.4  QFII Futures Access — Regulatory Framing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C0392B" w:sz="24" w:space="0"/>
              <w:bottom w:val="nil"/>
              <w:right w:val="nil"/>
            </w:tcBorders>
            <w:shd w:val="clear" w:color="auto" w:fill="FFF5F5"/>
            <w:tcMar>
              <w:top w:w="120" w:type="dxa"/>
              <w:left w:w="180" w:type="dxa"/>
              <w:bottom w:w="120" w:type="dxa"/>
              <w:right w:w="180" w:type="dxa"/>
            </w:tcMar>
          </w:tcPr>
          <w:p>
            <w:pPr>
              <w:spacing w:before="0" w:after="80"/>
            </w:pPr>
            <w:r>
              <w:rPr>
                <w:rFonts w:ascii="Consolas" w:hAnsi="Consolas" w:eastAsia="Consolas" w:cs="Consolas"/>
                <w:color w:val="C0392B"/>
                <w:sz w:val="18"/>
                <w:szCs w:val="18"/>
              </w:rPr>
              <w:t>CURRENT REGULATORY POSITION (June 2026)</w:t>
            </w:r>
          </w:p>
          <w:p>
            <w:pPr>
              <w:spacing w:before="0" w:after="0"/>
            </w:pPr>
            <w:r>
              <w:rPr>
                <w:rFonts w:ascii="Calibri" w:hAnsi="Calibri" w:eastAsia="Calibri" w:cs="Calibri"/>
                <w:color w:val="2A3A52"/>
                <w:sz w:val="20"/>
                <w:szCs w:val="20"/>
              </w:rPr>
              <w:t>The CSRC's April 24, 2026 opening of CGB futures to QFIs is restricted to hedging purposes only. Speculative and relative-value use is not currently permitted. CGB positions held via Bond Connect do not qualify as eligible cash positions for QFII hedging — only QFII channel and CIBM Direct holdings are recognised by CFFEX. Any business plan presenting QFII futures as enabling full RV strategies is describing the upside scenario, not the current regulatory state.</w:t>
            </w:r>
          </w:p>
        </w:tc>
      </w:tr>
    </w:tbl>
    <w:p>
      <w:pPr>
        <w:spacing w:before="0" w:after="8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9"/>
        <w:gridCol w:w="5735"/>
        <w:gridCol w:w="2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Scenario</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Description</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 Impact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Base case (today)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QFII futures for hedging QFII/CIBM Direct-held cash. Enables cost-effective duration hedging and capital-efficient beta overlay. Dual-channel setup (QFII cash + QFII futures) allows futures basis trade in a controlled structure.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Incremental efficiency on beta overlay and ASW. Does not expand alpha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Upside (rules evolve)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If RV/speculative use permitted — consistent with QFII expansion trajectory since 2020 — the following re-open: curve flatteners (futures vs futures), full OTR/OFR via deliverable basis, CGB-CDB inter-sector (long cash + short futures).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Adds ~3–5 uncorrelated alpha slots; alpha Sharpe lifts from ~1.7 to ~2.5.</w:t>
            </w:r>
          </w:p>
        </w:tc>
      </w:tr>
    </w:tbl>
    <w:p>
      <w:pPr>
        <w:spacing w:before="0" w:after="80"/>
      </w:pPr>
    </w:p>
    <w:p>
      <w:pPr>
        <w:spacing w:before="280" w:after="100"/>
      </w:pPr>
      <w:r>
        <w:rPr>
          <w:rFonts w:ascii="Calibri" w:hAnsi="Calibri" w:eastAsia="Calibri" w:cs="Calibri"/>
          <w:b/>
          <w:bCs/>
          <w:color w:val="0D1525"/>
          <w:sz w:val="26"/>
          <w:szCs w:val="26"/>
        </w:rPr>
        <w:t>4.5  Scaling Strategy</w:t>
      </w:r>
    </w:p>
    <w:p>
      <w:pPr>
        <w:spacing w:before="200" w:after="80"/>
      </w:pPr>
      <w:r>
        <w:rPr>
          <w:rFonts w:ascii="Calibri" w:hAnsi="Calibri" w:eastAsia="Calibri" w:cs="Calibri"/>
          <w:b/>
          <w:bCs/>
          <w:color w:val="2A3A52"/>
          <w:sz w:val="24"/>
          <w:szCs w:val="24"/>
        </w:rPr>
        <w:t>Capital Efficiency by Instrument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1"/>
        <w:gridCol w:w="1466"/>
        <w:gridCol w:w="1755"/>
        <w:gridCol w:w="3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Instrument</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Capital Need</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FX Footprint</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Scaling Implication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IRS (Swap Connect)</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Margin only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Minimal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Scales freely; natural core of a large 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Futures (QFII — hedging)</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Margin only</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Margin in CNY</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Scales freely once QFII channel established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Cash bond, futures-financed</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Margin + basis</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Principal (hedged)</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Scales well; futures cut funding drag vs repo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Cash bond, repo-financed</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Full funding</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Principal (hedged)</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Capital-intensive; use selectively for ASW</w:t>
            </w:r>
          </w:p>
        </w:tc>
      </w:tr>
    </w:tbl>
    <w:p>
      <w:pPr>
        <w:spacing w:before="0" w:after="80"/>
      </w:pPr>
    </w:p>
    <w:p>
      <w:pPr>
        <w:spacing w:before="200" w:after="80"/>
      </w:pPr>
      <w:r>
        <w:rPr>
          <w:rFonts w:ascii="Calibri" w:hAnsi="Calibri" w:eastAsia="Calibri" w:cs="Calibri"/>
          <w:b/>
          <w:bCs/>
          <w:color w:val="2A3A52"/>
          <w:sz w:val="24"/>
          <w:szCs w:val="24"/>
        </w:rPr>
        <w:t>Illustrative $100mm Book — Three Scenarios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6"/>
        <w:gridCol w:w="1963"/>
        <w:gridCol w:w="2656"/>
        <w:gridCol w:w="2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Metric</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Current (BC + SC)</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With QFII Futures (base)</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With Full RV Futures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Gross leverage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~15x</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~17x</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~20x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Active strategies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3 (IRS-led)</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4–5</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6–7 (balanced)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Expected return on NAV</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~11–12%</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~13–14%</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~16–18%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Expected vol</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~5.8%</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~6.1%</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Expected Sharpe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~1.7</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~2.0</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~2.5–2.7</w:t>
            </w:r>
          </w:p>
        </w:tc>
      </w:tr>
    </w:tbl>
    <w:p>
      <w:pPr>
        <w:spacing w:before="0" w:after="80"/>
      </w:pPr>
    </w:p>
    <w:p>
      <w:pPr>
        <w:spacing w:before="200" w:after="80"/>
      </w:pPr>
      <w:r>
        <w:rPr>
          <w:rFonts w:ascii="Calibri" w:hAnsi="Calibri" w:eastAsia="Calibri" w:cs="Calibri"/>
          <w:b/>
          <w:bCs/>
          <w:color w:val="2A3A52"/>
          <w:sz w:val="24"/>
          <w:szCs w:val="24"/>
        </w:rPr>
        <w:t>Phased Roadmap</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2008"/>
        <w:gridCol w:w="60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Phase</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Instruments</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Strategy Build-Out &amp; Objective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Phase 1 — Now</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Bond Connect + Swap Connect</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Core book: ASW (FX-hedged) and IRS curve RV. Establish FX overlay and CNY netting. Prove Sharpe on a capital-light base at $200–500mm.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Phase 2 — Futures Online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 QFII futures (hedging)</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Add futures-financed ASW; dual-channel basis trading. Step up AUM as track record matures offshore.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Phase 3 — Scale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Full toolkit + evolving venues</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If RV futures use permitted: full basis trades, OTR/OFR re-expressions, cash-futures-swap triangle. Grow AUM at constant Sharpe.</w:t>
            </w:r>
          </w:p>
        </w:tc>
      </w:tr>
    </w:tbl>
    <w:p>
      <w:pPr>
        <w:spacing w:before="0" w:after="80"/>
      </w:pPr>
    </w:p>
    <w:p>
      <w:pPr>
        <w:spacing w:before="280" w:after="100"/>
      </w:pPr>
      <w:r>
        <w:rPr>
          <w:rFonts w:ascii="Calibri" w:hAnsi="Calibri" w:eastAsia="Calibri" w:cs="Calibri"/>
          <w:b/>
          <w:bCs/>
          <w:color w:val="0D1525"/>
          <w:sz w:val="26"/>
          <w:szCs w:val="26"/>
        </w:rPr>
        <w:t>4.6  Capacity by Strategy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8"/>
        <w:gridCol w:w="1894"/>
        <w:gridCol w:w="5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Strategy</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Capacity</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Limiting Factor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IRS Curve RV</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High</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Deep, liquid swap market; natural home for 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Futures Basis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High (once QFII live)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Liquid futures market (~RMB 399bn ADV in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Asset Swap (ASW)</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Medium</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Cash-bond liquidity and funded capital; relieved by futures financing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CGB-CDB Inter-Sector</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Medium</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CDB liquidity; needs futures hedge to scale market-neutral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OTR / OFR Residual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Low</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Tradeable off-the-run float is small; first to saturate</w:t>
            </w:r>
          </w:p>
        </w:tc>
      </w:tr>
    </w:tbl>
    <w:p>
      <w:r>
        <w:br w:type="page"/>
      </w:r>
    </w:p>
    <w:p>
      <w:pPr>
        <w:pBdr>
          <w:bottom w:val="single" w:color="1D4ED8" w:sz="8" w:space="4"/>
        </w:pBdr>
        <w:spacing w:before="600" w:after="160"/>
      </w:pPr>
      <w:r>
        <w:rPr>
          <w:rFonts w:ascii="Consolas" w:hAnsi="Consolas" w:eastAsia="Consolas" w:cs="Consolas"/>
          <w:b/>
          <w:bCs/>
          <w:color w:val="1D4ED8"/>
          <w:spacing w:val="20"/>
          <w:sz w:val="26"/>
          <w:szCs w:val="26"/>
        </w:rPr>
        <w:t>5.  RISK MANAGEMENT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4"/>
        <w:gridCol w:w="7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Control</w:t>
            </w:r>
          </w:p>
        </w:tc>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DV01 neutrality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Alpha book maintains portfolio DV01 neutrality at all times. Net directional DV01 held to ≤10–15% of total risk budget; capped per tenor bucket.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Position stop-loss</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Each trade: pre-set stop triggered on adverse spread move of &gt;1σ from entry. Mechanical exit — not discretionary.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Risk-parity sizing</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Correlation-adjusted DV01 contribution equalised across all open positions. Max 20% of portfolio DV01 per single trade.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Volatility targeting</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Book sized to target annualised vol band of 5–7% of NAV (offshore). Gross leverage adjusted as correlations and instrument mix shift.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Drawdown monitoring</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Daily MTM P&amp;L attribution by signal component against pre-set drawdown limits. Historical alpha max drawdown: ≤1.8% across all three years.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VM / FX buffer</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Maintain 15–20% of NAV as cash buffer for variation margin and FX-hedge cashflows. Sized explicitly for quarter-end and Spring Festival windows.</w:t>
            </w:r>
          </w:p>
        </w:tc>
      </w:tr>
    </w:tbl>
    <w:p>
      <w:pPr>
        <w:spacing w:before="0" w:after="80"/>
      </w:pPr>
    </w:p>
    <w:p>
      <w:pPr>
        <w:spacing w:before="280" w:after="100"/>
      </w:pPr>
      <w:r>
        <w:rPr>
          <w:rFonts w:ascii="Calibri" w:hAnsi="Calibri" w:eastAsia="Calibri" w:cs="Calibri"/>
          <w:b/>
          <w:bCs/>
          <w:color w:val="0D1525"/>
          <w:sz w:val="26"/>
          <w:szCs w:val="26"/>
        </w:rPr>
        <w:t>Tail Risk Scenarios</w:t>
      </w:r>
    </w:p>
    <w:p>
      <w:pPr>
        <w:spacing w:before="200" w:after="80"/>
      </w:pPr>
      <w:r>
        <w:rPr>
          <w:rFonts w:ascii="Calibri" w:hAnsi="Calibri" w:eastAsia="Calibri" w:cs="Calibri"/>
          <w:b/>
          <w:bCs/>
          <w:color w:val="2A3A52"/>
          <w:sz w:val="24"/>
          <w:szCs w:val="24"/>
        </w:rPr>
        <w:t>Scenario A — CNH Sharp Depreciation (−8% in one month)</w:t>
      </w:r>
    </w:p>
    <w:p>
      <w:pPr>
        <w:spacing w:before="0" w:after="120"/>
      </w:pPr>
      <w:r>
        <w:rPr>
          <w:rFonts w:ascii="Calibri" w:hAnsi="Calibri" w:eastAsia="Calibri" w:cs="Calibri"/>
          <w:color w:val="2A3A52"/>
          <w:sz w:val="22"/>
          <w:szCs w:val="22"/>
        </w:rPr>
        <w:t>Alpha book spread P&amp;L is approximately FX-neutral. Primary FX exposure is the net principal of funded cash positions, hedged via CNH forwards. An 8% CNH move represents a mark-to-market loss on the hedge-roll basis, estimated at 15–40bps of NAV depending on hedge tenor. Spread P&amp;L is unaffected. Response: shorten hedge tenors to 1M forwards; increase CNH/CNY basis monitoring.</w:t>
      </w:r>
    </w:p>
    <w:p>
      <w:pPr>
        <w:spacing w:before="200" w:after="80"/>
      </w:pPr>
      <w:r>
        <w:rPr>
          <w:rFonts w:ascii="Calibri" w:hAnsi="Calibri" w:eastAsia="Calibri" w:cs="Calibri"/>
          <w:b/>
          <w:bCs/>
          <w:color w:val="2A3A52"/>
          <w:sz w:val="24"/>
          <w:szCs w:val="24"/>
        </w:rPr>
        <w:t>Scenario B — PBOC Sharp Liquidity Withdrawal (DR007 +150bps in two weeks)</w:t>
      </w:r>
    </w:p>
    <w:p>
      <w:pPr>
        <w:spacing w:before="0" w:after="120"/>
      </w:pPr>
      <w:r>
        <w:rPr>
          <w:rFonts w:ascii="Calibri" w:hAnsi="Calibri" w:eastAsia="Calibri" w:cs="Calibri"/>
          <w:color w:val="2A3A52"/>
          <w:sz w:val="22"/>
          <w:szCs w:val="22"/>
        </w:rPr>
        <w:t>A sudden short-end tightening is the primary macro risk to IRS curve and ASW strategies. Alpha book DV01 neutrality limits directional loss; main risk is spread widening before reversion. Historical quarter-end DR007 spikes (2023–2025) widened spreads 3–8bps before reverting within 3–5 days. A 150bps shock exceeds historical observations; stop-losses on IRS positions would trigger, with estimated aggregate loss 0.5–1.0% of NAV.</w:t>
      </w:r>
    </w:p>
    <w:p>
      <w:pPr>
        <w:spacing w:before="200" w:after="80"/>
      </w:pPr>
      <w:r>
        <w:rPr>
          <w:rFonts w:ascii="Calibri" w:hAnsi="Calibri" w:eastAsia="Calibri" w:cs="Calibri"/>
          <w:b/>
          <w:bCs/>
          <w:color w:val="2A3A52"/>
          <w:sz w:val="24"/>
          <w:szCs w:val="24"/>
        </w:rPr>
        <w:t>Scenario C — CGB Yields Rise 50bps in Two Weeks</w:t>
      </w:r>
    </w:p>
    <w:p>
      <w:pPr>
        <w:spacing w:before="0" w:after="120"/>
      </w:pPr>
      <w:r>
        <w:rPr>
          <w:rFonts w:ascii="Calibri" w:hAnsi="Calibri" w:eastAsia="Calibri" w:cs="Calibri"/>
          <w:color w:val="2A3A52"/>
          <w:sz w:val="22"/>
          <w:szCs w:val="22"/>
        </w:rPr>
        <w:t>A rapid bear sell-off would temporarily widen ASW spreads in the PM's favour (IRS lags cash) before compressing. Net directional P&amp;L on the DV01-neutral alpha book would be small. The 2025 H2 reversal (+25–40bps) is the closest historical analogue — alpha book generated 150bps excess return in that year with max drawdown contained at 1.2%.</w:t>
      </w:r>
    </w:p>
    <w:p>
      <w:r>
        <w:br w:type="page"/>
      </w:r>
    </w:p>
    <w:p>
      <w:pPr>
        <w:pBdr>
          <w:bottom w:val="single" w:color="1D4ED8" w:sz="8" w:space="4"/>
        </w:pBdr>
        <w:spacing w:before="600" w:after="160"/>
      </w:pPr>
      <w:r>
        <w:rPr>
          <w:rFonts w:ascii="Consolas" w:hAnsi="Consolas" w:eastAsia="Consolas" w:cs="Consolas"/>
          <w:b/>
          <w:bCs/>
          <w:color w:val="1D4ED8"/>
          <w:spacing w:val="20"/>
          <w:sz w:val="26"/>
          <w:szCs w:val="26"/>
        </w:rPr>
        <w:t>APPENDIX — LIVE TRADE EXAMPLES (2025)</w:t>
      </w:r>
    </w:p>
    <w:p>
      <w:pPr>
        <w:spacing w:before="0" w:after="120"/>
      </w:pPr>
      <w:r>
        <w:rPr>
          <w:rFonts w:ascii="Calibri" w:hAnsi="Calibri" w:eastAsia="Calibri" w:cs="Calibri"/>
          <w:color w:val="2A3A52"/>
          <w:sz w:val="22"/>
          <w:szCs w:val="22"/>
        </w:rPr>
        <w:t>Five closed trades from 2025 illustrating the alpha book's signal framework and diversity of return sources. All positions were executed; figures from internal management accounts.</w:t>
      </w:r>
    </w:p>
    <w:p>
      <w:pPr>
        <w:spacing w:before="0" w:after="80"/>
      </w:pPr>
    </w:p>
    <w:p>
      <w:pPr>
        <w:spacing w:before="280" w:after="100"/>
      </w:pPr>
      <w:r>
        <w:rPr>
          <w:rFonts w:ascii="Calibri" w:hAnsi="Calibri" w:eastAsia="Calibri" w:cs="Calibri"/>
          <w:b/>
          <w:bCs/>
          <w:color w:val="0D1525"/>
          <w:sz w:val="26"/>
          <w:szCs w:val="26"/>
        </w:rPr>
        <w:t>Trade 1 — Bond–Futures Basis (10Y CTD)   |   P&amp;L: ~$1.2mm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1"/>
        <w:gridCol w:w="8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Timeline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April 2025 – June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Structure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Long 10Y CTD CGB +$428mm  /  Short 10Y Treasury Bond Futures −$428mm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Entry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IRR–repo spread z-score &gt;+1.5σ; IRR 2.2%, repo rate 1.71%, carry +4bps/month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Exit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z-score reverted to +0.3σ, prior to delivery window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+30bps carry capture  /  ~$1.2mm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Context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April 2 US tariff announcement triggered risk-off flows into liquid futures, temporarily richening futures vs cash bonds — a classic idiosyncratic dislocation captured by the z-score signal.</w:t>
            </w:r>
          </w:p>
        </w:tc>
      </w:tr>
    </w:tbl>
    <w:p>
      <w:pPr>
        <w:spacing w:before="0" w:after="80"/>
      </w:pPr>
    </w:p>
    <w:p>
      <w:pPr>
        <w:spacing w:before="280" w:after="100"/>
      </w:pPr>
      <w:r>
        <w:rPr>
          <w:rFonts w:ascii="Calibri" w:hAnsi="Calibri" w:eastAsia="Calibri" w:cs="Calibri"/>
          <w:b/>
          <w:bCs/>
          <w:color w:val="0D1525"/>
          <w:sz w:val="26"/>
          <w:szCs w:val="26"/>
        </w:rPr>
        <w:t>Trade 2 — FR007 IRS Curve Steepener (1s5s)   |   P&amp;L: ~$1.4mm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1"/>
        <w:gridCol w:w="8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Timeline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July 2025 – September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Structure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Receive FR007 IRS 1Y +$1,428mm  /  Pay FR007 IRS 5Y −$286mm  (DV01-neutral)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Entry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Composite score &gt;2σ, rank top tercile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Exit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Composite score dropped to 0.5σ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+10bps  /  ~$1.4mm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Context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PBOC DR007 corridor stabilised in July 2025, shifting pricing from easing to soft recovery. Trend strength signal increased and dominated the composite score.</w:t>
            </w:r>
          </w:p>
        </w:tc>
      </w:tr>
    </w:tbl>
    <w:p>
      <w:pPr>
        <w:spacing w:before="0" w:after="80"/>
      </w:pPr>
    </w:p>
    <w:p>
      <w:pPr>
        <w:spacing w:before="280" w:after="100"/>
      </w:pPr>
      <w:r>
        <w:rPr>
          <w:rFonts w:ascii="Calibri" w:hAnsi="Calibri" w:eastAsia="Calibri" w:cs="Calibri"/>
          <w:b/>
          <w:bCs/>
          <w:color w:val="0D1525"/>
          <w:sz w:val="26"/>
          <w:szCs w:val="26"/>
        </w:rPr>
        <w:t>Trade 3 — On/Off-the-Run 30Y Spread   |   P&amp;L: ~$0.7mm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1"/>
        <w:gridCol w:w="8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Timeline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October 2025 – December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Structure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Long 2500006.IB 30Y OTR CGB +$71mm  /  Short 230023.IB 30Y seasoned CGB −$71mm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Entry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Composite score +1.8σ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Exit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Score fell to 0.6σ; replaced by higher-scoring trade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6bps spread compression  /  ~$0.7mm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Context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August 2025 30Y issuance became the dominant asset manager duration instrument and preferred repo collateral, widening the liquidity premium before year-end compression.</w:t>
            </w:r>
          </w:p>
        </w:tc>
      </w:tr>
    </w:tbl>
    <w:p>
      <w:pPr>
        <w:spacing w:before="0" w:after="80"/>
      </w:pPr>
    </w:p>
    <w:p>
      <w:pPr>
        <w:spacing w:before="280" w:after="100"/>
      </w:pPr>
      <w:r>
        <w:rPr>
          <w:rFonts w:ascii="Calibri" w:hAnsi="Calibri" w:eastAsia="Calibri" w:cs="Calibri"/>
          <w:b/>
          <w:bCs/>
          <w:color w:val="0D1525"/>
          <w:sz w:val="26"/>
          <w:szCs w:val="26"/>
        </w:rPr>
        <w:t>Trade 4 — CGB–CDB Inter-Sector Spread (10Y)   |   P&amp;L: ~$1.2mm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1"/>
        <w:gridCol w:w="8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Timeline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June 2025 – September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Structure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Long 250011.IB 10Y CGB +$143mm  /  Short 250215.IB 10Y CDB −$143mm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Entry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Composite score +2.1σ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Exit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Score dropped to 0.5σ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10bps spread widening  /  ~$1.2mm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Context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June 2025 mutual fund fee reforms led asset managers to increase allocations to benchmark CGBs, reducing marginal demand for policy bank bonds — a structural event-driven dislocation.</w:t>
            </w:r>
          </w:p>
        </w:tc>
      </w:tr>
    </w:tbl>
    <w:p>
      <w:pPr>
        <w:spacing w:before="0" w:after="80"/>
      </w:pPr>
    </w:p>
    <w:p>
      <w:pPr>
        <w:spacing w:before="280" w:after="100"/>
      </w:pPr>
      <w:r>
        <w:rPr>
          <w:rFonts w:ascii="Calibri" w:hAnsi="Calibri" w:eastAsia="Calibri" w:cs="Calibri"/>
          <w:b/>
          <w:bCs/>
          <w:color w:val="0D1525"/>
          <w:sz w:val="26"/>
          <w:szCs w:val="26"/>
        </w:rPr>
        <w:t>Trade 5 — Bond–Swap Basis (5Y CGB vs FR007 IRS)   |   P&amp;L: ~$1.2mm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1"/>
        <w:gridCol w:w="8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Timeline</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May 2025 – September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Structure</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Long 250003.IB 5Y OTR CGB +$286mm  /  Pay Fixed FR007 IRS 5Y −$286mm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Entry</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Composite score +2.3σ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Exit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Score dropped to 0.2σ; carry deteriorated and became negative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P&amp;L</w:t>
            </w:r>
          </w:p>
        </w:tc>
        <w:tc>
          <w:tcPr>
            <w:tcW w:w="0" w:type="auto"/>
            <w:tcBorders>
              <w:top w:val="single" w:color="DDE4F0" w:sz="4" w:space="0"/>
              <w:left w:val="single" w:color="DDE4F0" w:sz="4" w:space="0"/>
              <w:bottom w:val="single" w:color="DDE4F0" w:sz="4" w:space="0"/>
              <w:right w:val="single" w:color="DDE4F0" w:sz="4" w:space="0"/>
            </w:tcBorders>
            <w:tcMar>
              <w:top w:w="80" w:type="dxa"/>
              <w:left w:w="140" w:type="dxa"/>
              <w:bottom w:w="80" w:type="dxa"/>
              <w:right w:w="140" w:type="dxa"/>
            </w:tcMar>
          </w:tcPr>
          <w:p>
            <w:pPr>
              <w:spacing w:before="40" w:after="60"/>
            </w:pPr>
            <w:r>
              <w:rPr>
                <w:rFonts w:ascii="Calibri" w:hAnsi="Calibri" w:eastAsia="Calibri" w:cs="Calibri"/>
                <w:color w:val="2A3A52"/>
                <w:sz w:val="20"/>
                <w:szCs w:val="20"/>
              </w:rPr>
              <w:t>−10bps basis compression  /  ~$1.2mm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DDE4F0" w:sz="4" w:space="0"/>
              <w:left w:val="single" w:color="DDE4F0" w:sz="4" w:space="0"/>
              <w:bottom w:val="single" w:color="DDE4F0" w:sz="4" w:space="0"/>
              <w:right w:val="single" w:color="DDE4F0" w:sz="4" w:space="0"/>
            </w:tcBorders>
            <w:shd w:val="clear" w:color="auto" w:fill="EBF0FB"/>
            <w:tcMar>
              <w:top w:w="80" w:type="dxa"/>
              <w:left w:w="140" w:type="dxa"/>
              <w:bottom w:w="80" w:type="dxa"/>
              <w:right w:w="140" w:type="dxa"/>
            </w:tcMar>
          </w:tcPr>
          <w:p>
            <w:pPr>
              <w:spacing w:before="40" w:after="60"/>
            </w:pPr>
            <w:r>
              <w:rPr>
                <w:rFonts w:ascii="Consolas" w:hAnsi="Consolas" w:eastAsia="Consolas" w:cs="Consolas"/>
                <w:color w:val="1D4ED8"/>
                <w:sz w:val="18"/>
                <w:szCs w:val="18"/>
              </w:rPr>
              <w:t>Context</w:t>
            </w:r>
          </w:p>
        </w:tc>
        <w:tc>
          <w:tcPr>
            <w:tcW w:w="0" w:type="auto"/>
            <w:tcBorders>
              <w:top w:val="single" w:color="DDE4F0" w:sz="4" w:space="0"/>
              <w:left w:val="single" w:color="DDE4F0" w:sz="4" w:space="0"/>
              <w:bottom w:val="single" w:color="DDE4F0" w:sz="4" w:space="0"/>
              <w:right w:val="single" w:color="DDE4F0" w:sz="4" w:space="0"/>
            </w:tcBorders>
            <w:shd w:val="clear" w:color="auto" w:fill="F9FAFC"/>
            <w:tcMar>
              <w:top w:w="80" w:type="dxa"/>
              <w:left w:w="140" w:type="dxa"/>
              <w:bottom w:w="80" w:type="dxa"/>
              <w:right w:w="140" w:type="dxa"/>
            </w:tcMar>
          </w:tcPr>
          <w:p>
            <w:pPr>
              <w:spacing w:before="40" w:after="60"/>
            </w:pPr>
            <w:r>
              <w:rPr>
                <w:rFonts w:ascii="Calibri" w:hAnsi="Calibri" w:eastAsia="Calibri" w:cs="Calibri"/>
                <w:color w:val="2A3A52"/>
                <w:sz w:val="20"/>
                <w:szCs w:val="20"/>
              </w:rPr>
              <w:t>PBOC rate cut in May 2025 drove interbank liquidity improvement. Banks' bond demand combined with stabilised swap rates created a structural bond-rich/swap-fair basis dislocation.</w:t>
            </w:r>
          </w:p>
        </w:tc>
      </w:tr>
    </w:tbl>
    <w:p>
      <w:pPr>
        <w:spacing w:before="0" w:after="80"/>
      </w:pPr>
    </w:p>
    <w:p>
      <w:pPr>
        <w:spacing w:before="0" w:after="120"/>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05994279"/>
    <w:rsid w:val="077943D1"/>
    <w:rsid w:val="097F2C76"/>
    <w:rsid w:val="0B242D26"/>
    <w:rsid w:val="0C694B2F"/>
    <w:rsid w:val="162878C5"/>
    <w:rsid w:val="18787010"/>
    <w:rsid w:val="1E5B4037"/>
    <w:rsid w:val="255D6143"/>
    <w:rsid w:val="2A1D6EA4"/>
    <w:rsid w:val="2B46563C"/>
    <w:rsid w:val="37963A95"/>
    <w:rsid w:val="3FE8628A"/>
    <w:rsid w:val="40407FB7"/>
    <w:rsid w:val="43BB5649"/>
    <w:rsid w:val="57895252"/>
    <w:rsid w:val="60534938"/>
    <w:rsid w:val="651E0F17"/>
    <w:rsid w:val="68ED2114"/>
    <w:rsid w:val="69A675F0"/>
    <w:rsid w:val="70BE209A"/>
    <w:rsid w:val="72606732"/>
    <w:rsid w:val="761B1ACD"/>
    <w:rsid w:val="76484E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38</TotalTime>
  <ScaleCrop>false</ScaleCrop>
  <LinksUpToDate>false</LinksUpToDate>
  <Application>WPS Office_12.8.0.17017_F1E327BC-269C-435d-A152-05C5408002CA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2026-06-21T15:17:00Z</dcterms:created>
  <dc:creator>Yunfei Ma</dc:creator>
  <cp:lastModifiedBy>cmbc</cp:lastModifiedBy>
  <dcterms:modified xsi:type="dcterms:W3CDTF">2026-06-22T09:06:57Z</dcterms:modified>
  <dc:subject>Systematic Alpha Strategy · Institutional Track Record</dc:subject>
  <dc:title>China Fixed Income Relative Value — Offshore Platform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2052-12.8.0.17017</vt:lpwstr>
  </property>
  <property fmtid="{D5CDD505-2E9C-101B-9397-08002B2CF9AE}" pid="3" name="ICV">
    <vt:lpwstr>29352EEA4BD443FFB91349FD0DCF7482_12</vt:lpwstr>
  </property>
</Properties>
</file>