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2.7125 1亿，2.715 1.5亿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国开债收益率的回测效果：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周期： 从 2013-01-05 到 2022-04-01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中债国开债到期收益率:1年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：2311日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：2285bp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年均收益为：247bp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周期胜率为：62.31%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：2.38 (动量模型为2.05)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最大回撤为：40bp 到 2014-01-09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中债国开债到期收益率:5年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：2311日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：1709bp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年均收益为：184bp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周期胜率为：60.28%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：1.89 (动量模型为1.60)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最大回撤为：44bp 到 2020-08-18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中债国开债到期收益率:10年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：2311日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：1639bp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年均收益为：177bp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周期胜率为：60.06%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：1.97 (动量模型为1.50)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最大回撤为：34bp 到 2014-12-16</w:t>
      </w:r>
    </w:p>
    <w:p>
      <w:pPr>
        <w:ind w:firstLine="42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周期： 从 2015-06-02 到 2022-03-31 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中债国开债到期收益率:1年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：1709日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：1498bp , 年均收益为：219bp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周期胜率为：62.26%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：2.31 (动量模型为1.92)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最大回撤为：27bp 到 2016-12-22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中债国开债到期收益率:5年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：1709日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：1143bp , 年均收益为：167bp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周期胜率为：60.09%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：1.86 (动量模型为1.42)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最大回撤为：44bp 到 2020-08-18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中债国开债到期收益率:10年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交易日    ：1709日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总收益为  ：953bp , 年均收益为：139bp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周期胜率为：58.98%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盈亏比为  ：1.77 (动量模型为1.27)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最大回撤为：24bp 到 2017-07-27</w:t>
      </w:r>
    </w:p>
    <w:p>
      <w:pPr>
        <w:ind w:firstLine="42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2022-03-31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中债国开债到期收益率:1年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：1488bp , 年均收益为：217bp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周期胜率为：62.38%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：2.29 (动量模型为1.92)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最大回撤为：27bp 到 2016-12-22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中债国开债到期收益率:5年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：1257bp , 年均收益为：183bp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周期胜率为：61.44%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：1.99 (动量模型为1.42)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最大回撤为：35bp 到 2015-11-20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中债国开债到期收益率:10年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：988bp , 年均收益为：144bp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周期胜率为：59.22%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：1.81 (动量模型为1.27)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最大回撤为：24bp 到 2017-07-27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国债收益率的回测效果：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2013-01-05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：1767bp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年均收益为：191bp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周期胜率为：59.07%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：2.18 (动量模型为1.73)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最大回撤为：46bp 到 2020-08-05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：1361bp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年均收益为：147bp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周期胜率为：59.80%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：1.82 (动量模型为1.49)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最大回撤为：32bp 到 2013-12-17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：1178bp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年均收益为：127bp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周期胜率为：58.55%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：1.76 (动量模型为1.37)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最大回撤为：49bp 到 2014-01-15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中债国债到期收益率:30年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：971bp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年均收益为：105bp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周期胜率为：56.51%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：1.77 (动量模型为1.38)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最大回撤为：44bp 到 2015-11-26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2022-03-31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：1144bp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年均收益为：167bp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周期胜率为：59.27%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：2.11 (动量模型为1.65)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最大回撤为：46bp 到 2020-08-05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：994bp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年均收益为：145bp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周期胜率为：59.86%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：1.84 (动量模型为1.45)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最大回撤为：30bp 到 2022-03-25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：781bp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年均收益为：114bp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周期胜率为：58.05%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：1.69 (动量模型为1.28)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最大回撤为：26bp 到 2016-03-30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中债国债到期收益率:30年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：641bp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年均收益为：93bp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周期胜率为：57.17%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：1.68 (动量模型为1.32)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最大回撤为：44bp 到 2015-11-26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2022-03-31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：1211bp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年均收益为：177bp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周期胜率为：59.80%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：2.22 (动量模型为1.65)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最大回撤为：24bp 到 2020-08-05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：1062bp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周期胜率为：60.15%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：1.92 (动量模型为1.45)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最大回撤为：30bp 到 2022-03-25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中债国债到期收益率:10年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：854bp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年均收益为：125bp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周期胜率为：58.98%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：1.79 (动量模型为1.28)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最大回撤为：25bp 到 2016-03-30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中债国债到期收益率:30年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：1709日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：700bp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年均收益为：102bp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周期胜率为：57.05%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：1.77 (动量模型为1.32)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最大回撤为：23bp 到 2015-10-16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中短期票据</w:t>
      </w:r>
      <w:r>
        <w:rPr>
          <w:rFonts w:hint="eastAsia"/>
          <w:lang w:val="en-US" w:eastAsia="zh-CN"/>
        </w:rPr>
        <w:t>收益率的回测效果：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2013-01-05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：2463bp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年均收益为：266bp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周期胜率为：62.70%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：2.67 (动量模型为2.43)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最大回撤为：42bp 到 2013-07-18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中债中短期票据到期收益率(AAA):3年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：2128bp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年均收益为：230bp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周期胜率为：63.13%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：2.61 (动量模型为2.74)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最大回撤为：30bp 到 2013-08-13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：2311日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：2121bp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年均收益为：229bp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周期胜率为：61.96%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：2.72 (动量模型为2.56)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最大回撤为：32bp 到 2014-12-23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周期： 从 2015-06-02 到 2022-04-01 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中债中短期票据到期收益率(AAA):1年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交易日    ：1710日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总收益为  ：1556bp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年均收益为：227bp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周期胜率为：62.87%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盈亏比为  ：2.53 (动量模型为1.97)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最大回撤为：39bp 到 2015-11-17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中债中短期票据到期收益率(AAA):3年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交易日    ：1710日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总收益为  ：1440bp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年均收益为：210bp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周期胜率为：63.57%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盈亏比为  ：2.54 (动量模型为2.50)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最大回撤为：29bp 到 2016-12-22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中债中短期票据到期收益率(AAA):5年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交易日    ：1710日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总收益为  ：1416bp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年均收益为：207bp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周期胜率为：62.87%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盈亏比为  ：2.66 (动量模型为2.17)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最大回撤为：23bp 到 2016-12-22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：1710日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：1607bp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年均收益为：235bp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周期胜率为：63.80%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：2.62 (动量模型为1.97)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最大回撤为：41bp 到 2015-11-17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中债中短期票据到期收益率(AAA):3年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：1710日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：1440bp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年均收益为：210bp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周期胜率为：63.10%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：2.53 (动量模型为2.50)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最大回撤为：29bp 到 2016-12-22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中债中短期票据到期收益率(AAA):5年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：1710日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：1449bp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年均收益为：211bp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周期胜率为：63.45%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：2.73 (动量模型为2.17)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最大回撤为：24bp 到 2016-12-29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利率互换:FR007</w:t>
      </w:r>
      <w:r>
        <w:rPr>
          <w:rFonts w:hint="eastAsia"/>
          <w:lang w:val="en-US" w:eastAsia="zh-CN"/>
        </w:rPr>
        <w:t>的回测效果：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2013-01-05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：2289日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：2025bp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年均收益为：221bp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周期胜率为：59.72%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：2.11 (动量模型为1.75)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最大回撤为：45bp 到 2013-06-24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利率互换:FR007:3年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：2289日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：1841bp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年均收益为：201bp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周期胜率为：46.75%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：1.96 (动量模型为1.35)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最大回撤为：76bp 到 2017-04-12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：2289日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：1797bp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年均收益为：196bp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周期胜率为：57.71%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：1.87 (动量模型为1.70)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最大回撤为：41bp 到 2017-01-09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：1066bp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周期胜率为：58.36%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：2.03 (动量模型为1.65)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最大回撤为：24bp 到 2022-03-30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利率互换:FR007:3年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：1077bp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年均收益为：159bp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周期胜率为：48.91%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：1.91 (动量模型为1.39)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最大回撤为：76bp 到 2017-04-12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：1066bp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周期胜率为：57.71%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：1.85 (动量模型为1.67)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最大回撤为：41bp 到 2017-01-09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：1148bp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年均收益为：169bp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周期胜率为：59.36%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：2.16 (动量模型为1.65)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最大回撤为：22bp 到 2015-07-02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利率互换:FR007:3年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：1168bp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年均收益为：172bp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周期胜率为：49.91%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：2.03 (动量模型为1.39)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最大回撤为：76bp 到 2017-04-12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利率互换:FR007:5年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：1099bp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年均收益为：162bp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周期胜率为：58.36%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：1.89 (动量模型为1.67)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最大回撤为：41bp 到 2017-01-09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</w:t>
      </w:r>
      <w:r>
        <w:rPr>
          <w:rFonts w:hint="eastAsia"/>
          <w:lang w:val="en-US" w:eastAsia="zh-CN"/>
        </w:rPr>
        <w:t>期限利差的回测效果：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2013-01-05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利率互换:FR007:期限利差5-1年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：2289日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：804bp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年均收益为：87bp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周期胜率为：58.24%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：1.70 (动量模型为1.23)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最大回撤为：27bp 到 2014-11-04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利率互换:FR007:期限利差3-1年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：2289日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：128bp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周期胜率为：42.90%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：1.08 (动量模型为0.56)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最大回撤为：99bp 到 2017-05-09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利率互换:FR007:期限利差5-1年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：418bp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年均收益为：61bp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周期胜率为：58.59%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：1.67 (动量模型为1.18)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最大回撤为：18bp 到 2016-12-08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利率互换:FR007:期限利差3-1年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：120bp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周期胜率为：45.48%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：1.14 (动量模型为0.61)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最大回撤为：99bp 到 2017-05-09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2015-06-02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利率互换:FR007:期限利差5-1年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：437bp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年均收益为：64bp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周期胜率为：59.42%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：1.71 (动量模型为1.18)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最大回撤为：18bp 到 2016-12-07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利率互换:FR007:期限利差3-1年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：1693日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：105bp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周期胜率为：45.25%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：1.12 (动量模型为0.61)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最大回撤为：95bp 到 2017-05-09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</w:t>
      </w:r>
      <w:r>
        <w:rPr>
          <w:rFonts w:hint="eastAsia"/>
          <w:lang w:val="en-US" w:eastAsia="zh-CN"/>
        </w:rPr>
        <w:t>利率</w:t>
      </w:r>
      <w:r>
        <w:rPr>
          <w:rFonts w:hint="default"/>
          <w:lang w:val="en-US" w:eastAsia="zh-CN"/>
        </w:rPr>
        <w:t>债活跃券收盘价</w:t>
      </w:r>
      <w:r>
        <w:rPr>
          <w:rFonts w:hint="eastAsia"/>
          <w:lang w:val="en-US" w:eastAsia="zh-CN"/>
        </w:rPr>
        <w:t>的回测效果：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2016-06-02 到 2022-04-01 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10年期国开债活跃券收盘价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：1452日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：819bp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年均收益为：141bp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周期胜率为：57.58%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：1.74 (动量模型为1.07)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最大回撤为：42bp 到 2017-01-10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10年期国债活跃券收盘价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：1452日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：662bp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年均收益为：114bp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周期胜率为：55.03%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：1.65 (动量模型为1.00)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最大回撤为：34bp 到 2019-12-20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2016-06-02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10年期国开债活跃券收盘价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：1452日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：871bp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周期胜率为：57.78%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：1.81 (动量模型为1.07)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最大回撤为：42bp 到 2017-01-10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10年期国债活跃券收盘价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：1452日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：668bp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年均收益为：115bp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周期胜率为：55.23%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：1.66 (动量模型为1.00)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最大回撤为：34bp 到 2019-12-20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10年期</w:t>
      </w:r>
      <w:r>
        <w:rPr>
          <w:rFonts w:hint="eastAsia"/>
          <w:lang w:val="en-US" w:eastAsia="zh-CN"/>
        </w:rPr>
        <w:t>利率</w:t>
      </w:r>
      <w:r>
        <w:rPr>
          <w:rFonts w:hint="default"/>
          <w:lang w:val="en-US" w:eastAsia="zh-CN"/>
        </w:rPr>
        <w:t>债活跃券</w:t>
      </w:r>
      <w:r>
        <w:rPr>
          <w:rFonts w:hint="eastAsia"/>
          <w:lang w:val="en-US" w:eastAsia="zh-CN"/>
        </w:rPr>
        <w:t>开</w:t>
      </w:r>
      <w:bookmarkStart w:id="0" w:name="_GoBack"/>
      <w:bookmarkEnd w:id="0"/>
      <w:r>
        <w:rPr>
          <w:rFonts w:hint="default"/>
          <w:lang w:val="en-US" w:eastAsia="zh-CN"/>
        </w:rPr>
        <w:t>盘价</w:t>
      </w:r>
      <w:r>
        <w:rPr>
          <w:rFonts w:hint="eastAsia"/>
          <w:lang w:val="en-US" w:eastAsia="zh-CN"/>
        </w:rPr>
        <w:t>的回测效果：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2016-06-03 到 2022-04-01 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10年期国开债活跃券开盘价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：1451日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：905bp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年均收益为：156bp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周期胜率为：56.37%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：1.79 (动量模型为1.04)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最大回撤为：34bp 到 2017-03-14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10年期国债活跃券开盘价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：1451日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：677bp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年均收益为：116bp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周期胜率为：52.93%</w:t>
      </w:r>
    </w:p>
    <w:p>
      <w:pPr>
        <w:ind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：1.62 (动量模型为1.01)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最大回撤为：30bp 到 2017-02-16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加入国债期货结算价后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周期： 从 2016-06-03 到 2022-04-01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10年期国开债活跃券开盘价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：953bp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年均收益为：164bp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周期胜率为：56.44%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：1.85 (动量模型为1.04)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最大回撤为：34bp 到 2017-04-14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10年期国债活跃券开盘价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交易日    ：1451日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总收益为  ：670bp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年均收益为：115bp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周期胜率为：53.00%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盈亏比为  ：1.61 (动量模型为1.01)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最大回撤为：30bp 到 2017-02-16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37777"/>
    <w:rsid w:val="0CA17792"/>
    <w:rsid w:val="135E2179"/>
    <w:rsid w:val="167A441E"/>
    <w:rsid w:val="18B53A9C"/>
    <w:rsid w:val="1CF30248"/>
    <w:rsid w:val="21337777"/>
    <w:rsid w:val="23AE05C4"/>
    <w:rsid w:val="25CC1764"/>
    <w:rsid w:val="48272F55"/>
    <w:rsid w:val="4A1653C1"/>
    <w:rsid w:val="4D11379D"/>
    <w:rsid w:val="70FF78A9"/>
    <w:rsid w:val="7A6503AB"/>
    <w:rsid w:val="7C93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2022-04-01T02:51:00Z</dcterms:created>
  <dc:creator>马云飞</dc:creator>
  <cp:lastModifiedBy>马云飞</cp:lastModifiedBy>
  <dcterms:modified xsi:type="dcterms:W3CDTF">2022-04-02T03:36:14Z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2052-11.8.2.10329</vt:lpwstr>
  </property>
</Properties>
</file>