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108學年度 第2學期 競技程式設計(一) Competitive Programming(I) 課程綱要</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（中文）競技程式設計(一)
                <w:br/>
                （英文）Competitive Programming(I)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資工系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DCP3603</w:t>
            </w:r>
          </w:p>
        </w:tc>
      </w:tr>
      <w:tr>
        <w:trPr/>
        <w:tc>
          <w:tcPr>
            <w:tcW w:w="13000" w:type="dxa"/>
            <w:gridSpan w:val="6"/>
          </w:tcPr>
          <w:p>
            <w:pPr>
              <w:jc w:val="left"/>
            </w:pPr>
            <w:r>
              <w:rPr>
                <w:rStyle w:val="MSJHBD-SB12pt"/>
              </w:rPr>
              <w:t xml:space="preserve">授課教師：</w:t>
            </w:r>
          </w:p>
          <w:p>
            <w:pPr>
              <w:jc w:val="left"/>
            </w:pPr>
            <w:r>
              <w:rPr>
                <w:rStyle w:val="BlueMSJHBD-SB12pt"/>
              </w:rPr>
              <w:t xml:space="preserve">謝旻錚</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1</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Basic programming ability in C or C++ or Java or Python
Knowing arithmetics, binary representation and call stack
Solve qualification problem set by 23:59,  Mar 1, 2018.</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This is an introductory course in competitive programming. It will cover implementation skills on data structures and fundamental problem solving approaches such as incremental algorithms, divide and conquer,  greedy algorithms, dynamic programming, state space search and etc. Some topics in data structures, graph theory and computational geometry will be taught if everything goes smoothly.</w:t>
              <w:br/>
              <w:t>
</w:t>
              <w:br/>
              <w:t>
This course aims to encourage students to participate programming contests, and it provides the basic training to contestants.</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Competitive Programming 3, written by Steven Halim and Felix Halim, published by LuLu Enterprises, 2013.</w:t>
              <w:br/>
              <w:t>
Handouts</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Assignments: 10%</w:t>
              <w:br/>
              <w:t>
Midterm: 45%</w:t>
              <w:br/>
              <w:t>
Final: 45%</w:t>
              <w:br/>
              <w:t>
Both the midterm and the final will consist of 8 problems and last 5 hours.</w:t>
            </w:r>
          </w:p>
          <w:p>
            <w:pPr>
              <w:jc w:val="left"/>
            </w:pPr>
            <w:r>
              <w:rPr>
                <w:rStyle w:val="MSJHBD-SB12pt"/>
              </w:rPr>
              <w:t xml:space="preserve">2.教學方法及教學相關配合事項（如助教、網站或圖書及資料庫等）</w:t>
            </w:r>
          </w:p>
          <w:p>
            <w:pPr>
              <w:jc w:val="left"/>
            </w:pPr>
            <w:r>
              <w:rPr>
                <w:rStyle w:val="BlueMSJHBD-SB12pt"/>
              </w:rPr>
              <w:t xml:space="preserve">Online Judge System: https://oj.nctu.me/</w:t>
              <w:br/>
              <w:t>
Course materials: https://github.com/mzshieh/cp1_2018/</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3GH</w:t>
            </w:r>
          </w:p>
        </w:tc>
        <w:tc>
          <w:tcPr>
            <w:tcW w:w="2000" w:type="dxa"/>
          </w:tcPr>
          <w:p>
            <w:pPr>
              <w:jc w:val="left"/>
            </w:pPr>
            <w:r>
              <w:rPr>
                <w:rStyle w:val="BlueMSJHBD-SB12pt"/>
              </w:rPr>
              <w:t xml:space="preserve">CS337</w:t>
            </w:r>
          </w:p>
        </w:tc>
        <w:tc>
          <w:tcPr>
            <w:tcW w:w="4000" w:type="dxa"/>
          </w:tcPr>
          <w:p>
            <w:pPr>
              <w:jc w:val="left"/>
            </w:pPr>
            <w:r>
              <w:rPr>
                <w:rStyle w:val="BlueMSJHBD-SB12pt"/>
              </w:rPr>
              <w:t xml:space="preserve">mzshieh@nctu.edu.tw</w:t>
            </w:r>
          </w:p>
        </w:tc>
      </w:tr>
    </w:tbl>
    <w:tbl>
      <w:tblGrid>
        <w:gridCol w:w="500" w:type="dxa"/>
        <w:gridCol w:w="2500" w:type="dxa"/>
        <w:gridCol w:w="7000" w:type="dxa"/>
      </w:tblGrid>
      <w:tblPr>
        <w:tblStyle w:val="syllabusDataTable"/>
      </w:tblPr>
      <w:tr>
        <w:trPr/>
        <w:tc>
          <w:tcPr>
            <w:tcW w:w="13000" w:type="dxa"/>
            <w:gridSpan w:val="3"/>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
            </w:r>
          </w:p>
        </w:tc>
        <w:tc>
          <w:tcPr>
            <w:tcW w:w="7000" w:type="dxa"/>
          </w:tcPr>
          <w:p>
            <w:pPr>
              <w:jc w:val="left"/>
            </w:pPr>
            <w:r>
              <w:rPr>
                <w:rStyle w:val="BlueMSJHBD-SB12pt"/>
              </w:rPr>
              <w:t xml:space="preserve">Course Orientation and Introduction to Programming Contest</w:t>
              <w:br/>
              <w:t>
Qualification Problem Set</w:t>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
            </w:r>
          </w:p>
        </w:tc>
        <w:tc>
          <w:tcPr>
            <w:tcW w:w="7000" w:type="dxa"/>
          </w:tcPr>
          <w:p>
            <w:pPr>
              <w:jc w:val="left"/>
            </w:pPr>
            <w:r>
              <w:rPr>
                <w:rStyle w:val="BlueMSJHBD-SB12pt"/>
              </w:rPr>
              <w:t xml:space="preserve">Input Parsing</w:t>
              <w:br/>
              <w:t>
Output Formatting</w:t>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
            </w:r>
          </w:p>
        </w:tc>
        <w:tc>
          <w:tcPr>
            <w:tcW w:w="7000" w:type="dxa"/>
          </w:tcPr>
          <w:p>
            <w:pPr>
              <w:jc w:val="left"/>
            </w:pPr>
            <w:r>
              <w:rPr>
                <w:rStyle w:val="BlueMSJHBD-SB12pt"/>
              </w:rPr>
              <w:t xml:space="preserve">Fundamental data structures</w:t>
              <w:br/>
              <w:t>
Built-in Library</w:t>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
            </w:r>
          </w:p>
        </w:tc>
        <w:tc>
          <w:tcPr>
            <w:tcW w:w="7000" w:type="dxa"/>
          </w:tcPr>
          <w:p>
            <w:pPr>
              <w:jc w:val="left"/>
            </w:pPr>
            <w:r>
              <w:rPr>
                <w:rStyle w:val="BlueMSJHBD-SB12pt"/>
              </w:rPr>
              <w:t xml:space="preserve">Simulation</w:t>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
            </w:r>
          </w:p>
        </w:tc>
        <w:tc>
          <w:tcPr>
            <w:tcW w:w="7000" w:type="dxa"/>
          </w:tcPr>
          <w:p>
            <w:pPr>
              <w:jc w:val="left"/>
            </w:pPr>
            <w:r>
              <w:rPr>
                <w:rStyle w:val="BlueMSJHBD-SB12pt"/>
              </w:rPr>
              <w:t xml:space="preserve">Incremental Algorithms</w:t>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
            </w:r>
          </w:p>
        </w:tc>
        <w:tc>
          <w:tcPr>
            <w:tcW w:w="7000" w:type="dxa"/>
          </w:tcPr>
          <w:p>
            <w:pPr>
              <w:jc w:val="left"/>
            </w:pPr>
            <w:r>
              <w:rPr>
                <w:rStyle w:val="BlueMSJHBD-SB12pt"/>
              </w:rPr>
              <w:t xml:space="preserve">Divide and Conquer</w:t>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
            </w:r>
          </w:p>
        </w:tc>
        <w:tc>
          <w:tcPr>
            <w:tcW w:w="7000" w:type="dxa"/>
          </w:tcPr>
          <w:p>
            <w:pPr>
              <w:jc w:val="left"/>
            </w:pPr>
            <w:r>
              <w:rPr>
                <w:rStyle w:val="BlueMSJHBD-SB12pt"/>
              </w:rPr>
              <w:t xml:space="preserve">Recursive Enumeration</w:t>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
            </w:r>
          </w:p>
        </w:tc>
        <w:tc>
          <w:tcPr>
            <w:tcW w:w="7000" w:type="dxa"/>
          </w:tcPr>
          <w:p>
            <w:pPr>
              <w:jc w:val="left"/>
            </w:pPr>
            <w:r>
              <w:rPr>
                <w:rStyle w:val="BlueMSJHBD-SB12pt"/>
              </w:rPr>
              <w:t xml:space="preserve">Sorting and Binary Search</w:t>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
            </w:r>
          </w:p>
        </w:tc>
        <w:tc>
          <w:tcPr>
            <w:tcW w:w="7000" w:type="dxa"/>
          </w:tcPr>
          <w:p>
            <w:pPr>
              <w:jc w:val="left"/>
            </w:pPr>
            <w:r>
              <w:rPr>
                <w:rStyle w:val="BlueMSJHBD-SB12pt"/>
              </w:rPr>
              <w:t xml:space="preserve">Midterm</w:t>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
            </w:r>
          </w:p>
        </w:tc>
        <w:tc>
          <w:tcPr>
            <w:tcW w:w="7000" w:type="dxa"/>
          </w:tcPr>
          <w:p>
            <w:pPr>
              <w:jc w:val="left"/>
            </w:pPr>
            <w:r>
              <w:rPr>
                <w:rStyle w:val="BlueMSJHBD-SB12pt"/>
              </w:rPr>
              <w:t xml:space="preserve">Data Structures Related to Static Trees</w:t>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
            </w:r>
          </w:p>
        </w:tc>
        <w:tc>
          <w:tcPr>
            <w:tcW w:w="7000" w:type="dxa"/>
          </w:tcPr>
          <w:p>
            <w:pPr>
              <w:jc w:val="left"/>
            </w:pPr>
            <w:r>
              <w:rPr>
                <w:rStyle w:val="BlueMSJHBD-SB12pt"/>
              </w:rPr>
              <w:t xml:space="preserve">Data Structures Related to Static Trees</w:t>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
            </w:r>
          </w:p>
        </w:tc>
        <w:tc>
          <w:tcPr>
            <w:tcW w:w="7000" w:type="dxa"/>
          </w:tcPr>
          <w:p>
            <w:pPr>
              <w:jc w:val="left"/>
            </w:pPr>
            <w:r>
              <w:rPr>
                <w:rStyle w:val="BlueMSJHBD-SB12pt"/>
              </w:rPr>
              <w:t xml:space="preserve">Dynamic Programming</w:t>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
            </w:r>
          </w:p>
        </w:tc>
        <w:tc>
          <w:tcPr>
            <w:tcW w:w="7000" w:type="dxa"/>
          </w:tcPr>
          <w:p>
            <w:pPr>
              <w:jc w:val="left"/>
            </w:pPr>
            <w:r>
              <w:rPr>
                <w:rStyle w:val="BlueMSJHBD-SB12pt"/>
              </w:rPr>
              <w:t xml:space="preserve">Dynamic Programming</w:t>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
            </w:r>
          </w:p>
        </w:tc>
        <w:tc>
          <w:tcPr>
            <w:tcW w:w="7000" w:type="dxa"/>
          </w:tcPr>
          <w:p>
            <w:pPr>
              <w:jc w:val="left"/>
            </w:pPr>
            <w:r>
              <w:rPr>
                <w:rStyle w:val="BlueMSJHBD-SB12pt"/>
              </w:rPr>
              <w:t xml:space="preserve">Greedy Algorithms</w:t>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
            </w:r>
          </w:p>
        </w:tc>
        <w:tc>
          <w:tcPr>
            <w:tcW w:w="7000" w:type="dxa"/>
          </w:tcPr>
          <w:p>
            <w:pPr>
              <w:jc w:val="left"/>
            </w:pPr>
            <w:r>
              <w:rPr>
                <w:rStyle w:val="BlueMSJHBD-SB12pt"/>
              </w:rPr>
              <w:t xml:space="preserve">State Space Search</w:t>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
            </w:r>
          </w:p>
        </w:tc>
        <w:tc>
          <w:tcPr>
            <w:tcW w:w="7000" w:type="dxa"/>
          </w:tcPr>
          <w:p>
            <w:pPr>
              <w:jc w:val="left"/>
            </w:pPr>
            <w:r>
              <w:rPr>
                <w:rStyle w:val="BlueMSJHBD-SB12pt"/>
              </w:rPr>
              <w:t xml:space="preserve">State Space Search</w:t>
            </w:r>
          </w:p>
        </w:tc>
      </w:tr>
      <w:tr>
        <w:trPr/>
        <w:tc>
          <w:tcPr>
            <w:tcW w:w="500" w:type="dxa"/>
          </w:tcPr>
          <w:p>
            <w:pPr>
              <w:jc w:val="center"/>
            </w:pPr>
            <w:r>
              <w:rPr>
                <w:rStyle w:val="BlueMSJHBD-SB12pt"/>
              </w:rPr>
              <w:t xml:space="preserve">17</w:t>
            </w:r>
          </w:p>
        </w:tc>
        <w:tc>
          <w:tcPr>
            <w:tcW w:w="2500" w:type="dxa"/>
          </w:tcPr>
          <w:p>
            <w:pPr>
              <w:jc w:val="left"/>
            </w:pPr>
            <w:r>
              <w:rPr>
                <w:rStyle w:val="BlueMSJHBD-SB12pt"/>
              </w:rPr>
              <w:t xml:space="preserve"/>
            </w:r>
          </w:p>
        </w:tc>
        <w:tc>
          <w:tcPr>
            <w:tcW w:w="7000" w:type="dxa"/>
          </w:tcPr>
          <w:p>
            <w:pPr>
              <w:jc w:val="left"/>
            </w:pPr>
            <w:r>
              <w:rPr>
                <w:rStyle w:val="BlueMSJHBD-SB12pt"/>
              </w:rPr>
              <w:t xml:space="preserve">Selected Topics</w:t>
            </w:r>
          </w:p>
        </w:tc>
      </w:tr>
      <w:tr>
        <w:trPr/>
        <w:tc>
          <w:tcPr>
            <w:tcW w:w="500" w:type="dxa"/>
          </w:tcPr>
          <w:p>
            <w:pPr>
              <w:jc w:val="center"/>
            </w:pPr>
            <w:r>
              <w:rPr>
                <w:rStyle w:val="BlueMSJHBD-SB12pt"/>
              </w:rPr>
              <w:t xml:space="preserve">18</w:t>
            </w:r>
          </w:p>
        </w:tc>
        <w:tc>
          <w:tcPr>
            <w:tcW w:w="2500" w:type="dxa"/>
          </w:tcPr>
          <w:p>
            <w:pPr>
              <w:jc w:val="left"/>
            </w:pPr>
            <w:r>
              <w:rPr>
                <w:rStyle w:val="BlueMSJHBD-SB12pt"/>
              </w:rPr>
              <w:t xml:space="preserve"/>
            </w:r>
          </w:p>
        </w:tc>
        <w:tc>
          <w:tcPr>
            <w:tcW w:w="7000" w:type="dxa"/>
          </w:tcPr>
          <w:p>
            <w:pPr>
              <w:jc w:val="left"/>
            </w:pPr>
            <w:r>
              <w:rPr>
                <w:rStyle w:val="BlueMSJHBD-SB12pt"/>
              </w:rPr>
              <w:t xml:space="preserve">Final</w:t>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Copyright©2019 National Chiao Tung University ALL RIGHTS RESERVED.</w:t>
            </w:r>
          </w:p>
        </w:tc>
      </w:tr>
    </w:tbl>
    <w:sectPr>
      <w:pgSz w:orient="portrait" w:w="11905.511811024" w:h="16837.795275591"/>
      <w:pgMar w:top="566.92913385827" w:right="566.92913385827" w:bottom="566.92913385827" w:left="566.92913385827"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6"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國立交通大學課務管理系統之選課系統</dc:title>
  <dc:description>https://ccms.nctu.edu.tw</dc:description>
  <dc:subject/>
  <cp:keywords/>
  <cp:category/>
  <cp:lastModifiedBy>CCMS</cp:lastModifiedBy>
  <dcterms:created xsi:type="dcterms:W3CDTF">2020-03-05T16:38:06+08:00</dcterms:created>
  <dcterms:modified xsi:type="dcterms:W3CDTF">2020-03-05T16:38:06+08:00</dcterms:modified>
</cp:coreProperties>
</file>

<file path=docProps/custom.xml><?xml version="1.0" encoding="utf-8"?>
<Properties xmlns="http://schemas.openxmlformats.org/officeDocument/2006/custom-properties" xmlns:vt="http://schemas.openxmlformats.org/officeDocument/2006/docPropsVTypes"/>
</file>