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China vows fight over trade moves</w:t>
        <w:br/>
        <w:t xml:space="preserve">        </w:t>
      </w:r>
    </w:p>
    <w:p>
      <w:r>
        <w:t>2018-03-23</w:t>
      </w:r>
    </w:p>
    <w:p>
      <w:r>
        <w:br/>
        <w:t xml:space="preserve">            By Chen Weihua in Washington and Zhou Jin in Beijing | </w:t>
        <w:br/>
        <w:t xml:space="preserve">            China Daily USA |</w:t>
        <w:br/>
        <w:t xml:space="preserve">            Updated: 2018-03-23 14:46</w:t>
        <w:br/>
        <w:t xml:space="preserve">          </w:t>
      </w:r>
    </w:p>
    <w:p>
      <w:r>
        <w:br/>
        <w:t>"If somebody tries to impose a trade war upon us, we will fight," Chinese Ambassador to the US Cui Tiankai said after US President Donald Trump on Thursday signed off on a plan to impose tariffs on imports from China and restrict Chinese foreign direct investment.</w:t>
        <w:br/>
        <w:t>"We will do whatever we can to defend the legitimate interests," Cui said in a video posted on the embassy Facebook account. "Let me assure those people who intend to fight a trade war. We will certainly fight back. We will retaliate. If people want to play tough, we will play tough with them and see who will last longer."</w:t>
        <w:br/>
        <w:t>The US memorandum directs Trade Representative Robert Lighthizer and Treasury Secretary Steven Mnuchin to respectively come up with specific plans on the tariffs and on Chinese FDI in the US.</w:t>
        <w:br/>
        <w:t>The memo is a result of a Section 301 investigation under the US Trade Act of 1974 into China's laws, policies, practices or actions related to technology transfer, intellectual property and innovation.</w:t>
        <w:br/>
        <w:t>While the memo posted on the White House website did not give a specific amount of the tariffs, Trump said on Thursday it could be tariffs on "about $60 billion" worth of imports from China.</w:t>
        <w:br/>
        <w:t>Also, unlike executive orders that take legal precedence and cannot be changed by a memorandum, a US presidential memorandum can be amended or rescinded by executive orders or another memorandum.</w:t>
        <w:br/>
        <w:t>Trump said the two countries are in the midst of a large negotiation.</w:t>
        <w:br/>
        <w:t>"We'll see where it takes us. But in the meantime, we're sending a Section 301 action," Trump said at the signing ceremony.</w:t>
        <w:br/>
        <w:t>The move has drawn firm opposition from US businesses and lawmakers.</w:t>
        <w:br/>
        <w:t>Lighthizer was grilled on the economic impact on US states at a Senate hearing on Thursday and at a similar session at the House of Representatives on Wednesday.</w:t>
      </w:r>
    </w:p>
    <w:p>
      <w:r>
        <w:t>http://www.chinadaily.com.cn/a/201803/23/WS5ab4a2dda3105cdcf6513e0b.html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