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4B0082"/>
          <w:sz w:val="96"/>
          <w:szCs w:val="96"/>
        </w:rPr>
        <w:t xml:space="preserve">T3</w:t>
      </w:r>
    </w:p>
    <w:p>
      <w:pPr>
        <w:spacing w:after="100"/>
        <w:jc w:val="center"/>
      </w:pPr>
      <w:r>
        <w:rPr>
          <w:rFonts w:ascii="Arial" w:cs="Arial" w:eastAsia="Arial" w:hAnsi="Arial"/>
          <w:color w:val="0891B2"/>
          <w:sz w:val="44"/>
          <w:szCs w:val="44"/>
        </w:rPr>
        <w:t xml:space="preserve">Track. Trust. Transform.</w:t>
      </w:r>
    </w:p>
    <w:p>
      <w:pPr>
        <w:pBdr>
          <w:bottom w:val="single" w:color="4B0082" w:sz="6" w:space="1"/>
        </w:pBdr>
        <w:spacing w:after="400"/>
        <w:jc w:val="center"/>
      </w:pPr>
    </w:p>
    <w:p>
      <w:pPr>
        <w:spacing w:after="120"/>
        <w:jc w:val="center"/>
      </w:pPr>
      <w:r>
        <w:rPr>
          <w:rFonts w:ascii="Arial" w:cs="Arial" w:eastAsia="Arial" w:hAnsi="Arial"/>
          <w:b/>
          <w:bCs/>
          <w:sz w:val="28"/>
          <w:szCs w:val="28"/>
        </w:rPr>
        <w:t xml:space="preserve">Executive Summary</w:t>
      </w:r>
    </w:p>
    <w:p>
      <w:pPr>
        <w:spacing w:after="600"/>
      </w:pPr>
    </w:p>
    <w:p>
      <w:pPr>
        <w:spacing w:after="80"/>
        <w:jc w:val="center"/>
      </w:pPr>
      <w:r>
        <w:rPr>
          <w:rFonts w:ascii="Arial" w:cs="Arial" w:eastAsia="Arial" w:hAnsi="Arial"/>
          <w:b/>
          <w:bCs/>
          <w:sz w:val="28"/>
          <w:szCs w:val="28"/>
        </w:rPr>
        <w:t xml:space="preserve">Lane College</w:t>
      </w:r>
    </w:p>
    <w:p>
      <w:pPr>
        <w:spacing w:after="80"/>
        <w:jc w:val="center"/>
      </w:pPr>
      <w:r>
        <w:rPr>
          <w:rFonts w:ascii="Arial" w:cs="Arial" w:eastAsia="Arial" w:hAnsi="Arial"/>
          <w:sz w:val="24"/>
          <w:szCs w:val="24"/>
        </w:rPr>
        <w:t xml:space="preserve">HBCU Battle of the Brains 2026</w:t>
      </w:r>
    </w:p>
    <w:p>
      <w:pPr>
        <w:jc w:val="center"/>
      </w:pPr>
      <w:r>
        <w:rPr>
          <w:rFonts w:ascii="Arial" w:cs="Arial" w:eastAsia="Arial" w:hAnsi="Arial"/>
          <w:color w:val="666666"/>
          <w:sz w:val="22"/>
          <w:szCs w:val="22"/>
        </w:rPr>
        <w:t xml:space="preserve">March 13, 2026</w:t>
      </w:r>
    </w:p>
    <w:p>
      <w:r>
        <w:br w:type="page"/>
      </w:r>
    </w:p>
    <w:p>
      <w:pPr>
        <w:sectPr>
          <w:pgSz w:w="12240" w:h="15840" w:orient="portrait"/>
          <w:pgMar w:top="1440" w:right="1440" w:bottom="1440" w:left="1440" w:header="708" w:footer="708" w:gutter="0"/>
          <w:pgNumType/>
          <w:docGrid w:linePitch="360"/>
        </w:sectPr>
      </w:pPr>
    </w:p>
    <w:p>
      <w:pPr>
        <w:spacing w:after="300"/>
        <w:jc w:val="center"/>
      </w:pPr>
      <w:r>
        <w:rPr>
          <w:rFonts w:ascii="Arial" w:cs="Arial" w:eastAsia="Arial" w:hAnsi="Arial"/>
          <w:b/>
          <w:bCs/>
          <w:color w:val="4B0082"/>
          <w:sz w:val="36"/>
          <w:szCs w:val="36"/>
        </w:rPr>
        <w:t xml:space="preserve">Executive Summary</w:t>
      </w:r>
    </w:p>
    <w:p>
      <w:pPr>
        <w:spacing w:after="100"/>
      </w:pPr>
      <w:r>
        <w:rPr>
          <w:rFonts w:ascii="Arial" w:cs="Arial" w:eastAsia="Arial" w:hAnsi="Arial"/>
          <w:b/>
          <w:bCs/>
          <w:color w:val="0891B2"/>
          <w:sz w:val="26"/>
          <w:szCs w:val="26"/>
        </w:rPr>
        <w:t xml:space="preserve">The Problem</w:t>
      </w:r>
    </w:p>
    <w:p>
      <w:pPr>
        <w:spacing w:after="200"/>
      </w:pPr>
      <w:r>
        <w:rPr>
          <w:rFonts w:ascii="Arial" w:cs="Arial" w:eastAsia="Arial" w:hAnsi="Arial"/>
          <w:sz w:val="22"/>
          <w:szCs w:val="22"/>
        </w:rPr>
        <w:t xml:space="preserve">AI assistants like ChatGPT (200M+ weekly users) and Google Gemini are rapidly becoming the primary way consumers discover and evaluate products — yet brands have zero visibility into what AI says about them. When AI hallucinates incorrect product specs, outdated pricing, or omits a brand entirely, companies lose customers without ever knowing why — contributing to an estimated $67.4 billion in losses from AI misinformation in 2024 alone.</w:t>
      </w:r>
    </w:p>
    <w:p>
      <w:pPr>
        <w:spacing w:after="100"/>
      </w:pPr>
      <w:r>
        <w:rPr>
          <w:rFonts w:ascii="Arial" w:cs="Arial" w:eastAsia="Arial" w:hAnsi="Arial"/>
          <w:b/>
          <w:bCs/>
          <w:color w:val="0891B2"/>
          <w:sz w:val="26"/>
          <w:szCs w:val="26"/>
        </w:rPr>
        <w:t xml:space="preserve">The Solution</w:t>
      </w:r>
    </w:p>
    <w:p>
      <w:pPr>
        <w:spacing w:after="200"/>
      </w:pPr>
      <w:r>
        <w:rPr>
          <w:rFonts w:ascii="Arial" w:cs="Arial" w:eastAsia="Arial" w:hAnsi="Arial"/>
          <w:sz w:val="22"/>
          <w:szCs w:val="22"/>
        </w:rPr>
        <w:t xml:space="preserve">T3 (Track. Trust. Transform.) is a full-stack AI Brand Visibility &amp; Trust Platform that monitors how products appear across four major AI platforms, detects hallucinations at the individual claim level, and generates corrective content (Schema.org JSON-LD, FAQ, optimized descriptions) that AI crawlers can parse. Unlike passive monitoring tools, T3 actively optimizes what AI finds when it browses the web — then verifies the fixes worked. The platform serves both B2B (brand managers) and B2C (consumer fact-checking), creating a two-sided trust ecosystem.</w:t>
      </w:r>
    </w:p>
    <w:p>
      <w:pPr>
        <w:spacing w:after="100"/>
      </w:pPr>
      <w:r>
        <w:rPr>
          <w:rFonts w:ascii="Arial" w:cs="Arial" w:eastAsia="Arial" w:hAnsi="Arial"/>
          <w:b/>
          <w:bCs/>
          <w:color w:val="0891B2"/>
          <w:sz w:val="26"/>
          <w:szCs w:val="26"/>
        </w:rPr>
        <w:t xml:space="preserve">Technology</w:t>
      </w:r>
    </w:p>
    <w:p>
      <w:pPr>
        <w:spacing w:after="200"/>
      </w:pPr>
      <w:r>
        <w:rPr>
          <w:rFonts w:ascii="Arial" w:cs="Arial" w:eastAsia="Arial" w:hAnsi="Arial"/>
          <w:sz w:val="22"/>
          <w:szCs w:val="22"/>
        </w:rPr>
        <w:t xml:space="preserve">Built on a 12-engine Python FastAPI backend with a React frontend and Supabase PostgreSQL database, T3 leverages Claude and OpenAI APIs for intelligent claim extraction and content generation. The system processes daily automated scans across ChatGPT, Gemini, Perplexity, and Microsoft Copilot, with real-time live query capability for on-demand brand monitoring.</w:t>
      </w:r>
    </w:p>
    <w:p>
      <w:pPr>
        <w:spacing w:after="100"/>
      </w:pPr>
      <w:r>
        <w:rPr>
          <w:rFonts w:ascii="Arial" w:cs="Arial" w:eastAsia="Arial" w:hAnsi="Arial"/>
          <w:b/>
          <w:bCs/>
          <w:color w:val="0891B2"/>
          <w:sz w:val="26"/>
          <w:szCs w:val="26"/>
        </w:rPr>
        <w:t xml:space="preserve">Differentiation</w:t>
      </w:r>
    </w:p>
    <w:p>
      <w:pPr>
        <w:spacing w:after="200"/>
      </w:pPr>
      <w:r>
        <w:rPr>
          <w:rFonts w:ascii="Arial" w:cs="Arial" w:eastAsia="Arial" w:hAnsi="Arial"/>
          <w:sz w:val="22"/>
          <w:szCs w:val="22"/>
        </w:rPr>
        <w:t xml:space="preserve">T3 is the only platform that completes the full loop: track what AI says, detect hallucinations, generate corrective content, publish it, and verify the fix — with ROI measurement at every step. Competitors like Otterly.ai and Evertune offer partial monitoring; none provide claim-level extraction, Schema.org output, consumer fact-checking, or improvement verification in a single platform.</w:t>
      </w:r>
    </w:p>
    <w:p>
      <w:pPr>
        <w:spacing w:after="100"/>
      </w:pPr>
      <w:r>
        <w:rPr>
          <w:rFonts w:ascii="Arial" w:cs="Arial" w:eastAsia="Arial" w:hAnsi="Arial"/>
          <w:b/>
          <w:bCs/>
          <w:color w:val="0891B2"/>
          <w:sz w:val="26"/>
          <w:szCs w:val="26"/>
        </w:rPr>
        <w:t xml:space="preserve">Business Model</w:t>
      </w:r>
    </w:p>
    <w:p>
      <w:pPr>
        <w:spacing w:after="200"/>
      </w:pPr>
      <w:r>
        <w:rPr>
          <w:rFonts w:ascii="Arial" w:cs="Arial" w:eastAsia="Arial" w:hAnsi="Arial"/>
          <w:sz w:val="22"/>
          <w:szCs w:val="22"/>
        </w:rPr>
        <w:t xml:space="preserve">SaaS subscription model with three tiers (Starter $500/mo, Professional $2,000/mo, Enterprise $5,000+/mo), targeting consumer brands that need AI visibility — a market encompassing every company with an online product presence. MVP infrastructure cost of ~$275/month means profitability from the first client.</w:t>
      </w:r>
    </w:p>
    <w:p>
      <w:pPr>
        <w:spacing w:after="100"/>
      </w:pPr>
      <w:r>
        <w:rPr>
          <w:rFonts w:ascii="Arial" w:cs="Arial" w:eastAsia="Arial" w:hAnsi="Arial"/>
          <w:b/>
          <w:bCs/>
          <w:color w:val="0891B2"/>
          <w:sz w:val="26"/>
          <w:szCs w:val="26"/>
        </w:rPr>
        <w:t xml:space="preserve">Ethics &amp; Impact</w:t>
      </w:r>
    </w:p>
    <w:p>
      <w:pPr>
        <w:spacing w:after="200"/>
      </w:pPr>
      <w:r>
        <w:rPr>
          <w:rFonts w:ascii="Arial" w:cs="Arial" w:eastAsia="Arial" w:hAnsi="Arial"/>
          <w:sz w:val="22"/>
          <w:szCs w:val="22"/>
        </w:rPr>
        <w:t xml:space="preserve">T3 improves AI accuracy for everyone — correcting hallucinations helps consumers make better purchasing decisions while protecting brand integrity. The Consumer Fact-Checker democratizes AI accountability, and the platform creates new career pathways in AI quality assurance for HBCU students and graduates.</w:t>
      </w:r>
    </w:p>
    <w:p>
      <w:pPr>
        <w:spacing w:after="100"/>
      </w:pPr>
      <w:r>
        <w:rPr>
          <w:rFonts w:ascii="Arial" w:cs="Arial" w:eastAsia="Arial" w:hAnsi="Arial"/>
          <w:b/>
          <w:bCs/>
          <w:color w:val="0891B2"/>
          <w:sz w:val="26"/>
          <w:szCs w:val="26"/>
        </w:rPr>
        <w:t xml:space="preserve">Team</w:t>
      </w:r>
    </w:p>
    <w:p>
      <w:pPr>
        <w:spacing w:after="200"/>
      </w:pPr>
      <w:r>
        <w:rPr>
          <w:rFonts w:ascii="Arial" w:cs="Arial" w:eastAsia="Arial" w:hAnsi="Arial"/>
          <w:sz w:val="22"/>
          <w:szCs w:val="22"/>
        </w:rPr>
        <w:t xml:space="preserve">Lane College’s team brings together computer science students with expertise in full-stack development, AI/ML integration, and data engineering, mentored by faculty with industry experience in enterprise software and data analytics.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T3 — Executive Summary  |  Lane College  |  HBCU BOTB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2026-03-12T18:17:18.013Z</dcterms:created>
  <dcterms:modified xsi:type="dcterms:W3CDTF">2026-03-12T18:17:18.014Z</dcterms:modified>
</cp:coreProperties>
</file>

<file path=docProps/custom.xml><?xml version="1.0" encoding="utf-8"?>
<Properties xmlns="http://schemas.openxmlformats.org/officeDocument/2006/custom-properties" xmlns:vt="http://schemas.openxmlformats.org/officeDocument/2006/docPropsVTypes"/>
</file>