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model：溫度以熱交換與熱源項描述，濕度以水氣交換與除濕項描述，照度以光源幾何、遮蔽與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2.0835，低於 IDW baseline 的 0.1723、0.4633、75.0516；hybrid residual leave-one-scenario-out 平均進一步降至 0.0017、0.0055、0.1581。7 天 real-bedroom snapshot 中，pillow 參考點校正後 MAE 由 0.8967°C、4.1286% 與 358.6392 lux 降至 0.1676°C、0.3939% 與 21.3753 lux。公開資料集 SML2010 與 CU-BEMS 僅作 task-aligned benchmark，不宣稱 full 3D dense-field 驗證；SML2010 的 24 個任務中有 12 項取得最低 MAE，CU-BEMS 的 12 個任務中有 9 項優於 linear regression 但 0 項優於 persistence。結果顯示，稀疏角落感測在搭配變數專屬物理結構、校正與殘差學習時，可支援可解釋且可訓練的室內環境場估計；推薦動作目前仍屬模型反事實排序，實際因果改善需後續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source geometry,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0.0474/0.1765/2.0835 for temperature, humidity, and illuminance, compared with 0.1723/0.4633/75.0516 for IDW. Leave-one-scenario-out hybrid residual correction further reduces MAE to 0.0017/0.0055/0.1581. In a seven-day real-bedroom snapshot, pillow-point calibration error is reduced from 0.8967°C, 4.1286%, and 358.6392 lux to 0.1676°C, 0.3939%, and 21.3753 lux. SML2010 and CU-BEMS are used only as compatible task-aligned external benchmarks rather than dense 3-D spatial ground truth: the mapped model obtains the lowest MAE in 12 of 24 SML2010 tasks, and outperforms linear regression in 9 of 12 CU-BEMS tasks but never outperforms persistence on CU-BEMS. These results show that sparse corner sensing can support an interpretable and trainable indoor environmental field estimator when physical structure, calibration, and residual learning are assigned complementary roles.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校正場，最後輸出任意座標或目標區域的三因子估計；只有在已有 point/cluster sample 與完整三因子目標時，才進一步輸出候選控制動作排序。</w:t>
      </w:r>
    </w:p>
    <w:p>
      <w:pPr>
        <w:jc w:val="center"/>
        <w:spacing w:after="120" w:line="360" w:lineRule="auto"/>
      </w:pPr>
      <w:r>
        <w:drawing>
          <wp:inline distT="0" distB="0" distL="0" distR="0">
            <wp:extent cx="5303520" cy="3077193"/>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3077193"/>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3291681"/>
            <wp:docPr id="2" name="圖 3-2 主要執行資料流。此圖對應一次 runtime request 如何從輸入設定、場估計、校正，到 dashboard 或 MCP 輸出。"/>
            <wp:cNvGraphicFramePr>
              <a:graphicFrameLocks noChangeAspect="1"/>
            </wp:cNvGraphicFramePr>
            <a:graphic>
              <a:graphicData uri="http://schemas.openxmlformats.org/drawingml/2006/picture">
                <pic:pic>
                  <pic:nvPicPr>
                    <pic:cNvPr id="2" name="圖 3-2 主要執行資料流。此圖對應一次 runtime request 如何從輸入設定、場估計、校正，到 dashboard 或 MCP 輸出。"/>
                    <pic:cNvPicPr/>
                  </pic:nvPicPr>
                  <pic:blipFill>
                    <a:blip r:embed="rId2"/>
                    <a:stretch>
                      <a:fillRect/>
                    </a:stretch>
                  </pic:blipFill>
                  <pic:spPr>
                    <a:xfrm>
                      <a:off x="0" y="0"/>
                      <a:ext cx="5943600" cy="3291681"/>
                    </a:xfrm>
                    <a:prstGeom prst="rect">
                      <a:avLst/>
                    </a:prstGeom>
                  </pic:spPr>
                </pic:pic>
              </a:graphicData>
            </a:graphic>
          </wp: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3396342"/>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3396342"/>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表示啟用中燈具對查詢點的直接照度貢獻。</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2952538"/>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2952538"/>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w:t>
            </w:r>
          </w:p>
        </w:tc>
        <w:tc>
          <w:tcPr>
            <w:tcW w:w="2200" w:type="dxa"/>
          </w:tcPr>
          <w:p>
            <w:pPr>
              <w:spacing w:before="0" w:after="0" w:line="360" w:lineRule="auto"/>
            </w:pPr>
            <w:r>
              <w:t xml:space="preserve">冷氣、窗戶、照明等裝置的啟用狀態或控制比例。</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wp:inline distT="0" distB="0" distL="0" distR="0">
            <wp:extent cx="5943600" cy="3429517"/>
            <wp: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wp:cNvGraphicFramePr>
              <a:graphicFrameLocks noChangeAspect="1"/>
            </wp:cNvGraphicFramePr>
            <a:graphic>
              <a:graphicData uri="http://schemas.openxmlformats.org/drawingml/2006/picture">
                <pic:pic>
                  <pic:nvPicPr>
                    <pic: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pic:cNvPicPr/>
                  </pic:nvPicPr>
                  <pic:blipFill>
                    <a:blip r:embed="rId5"/>
                    <a:stretch>
                      <a:fillRect/>
                    </a:stretch>
                  </pic:blipFill>
                  <pic:spPr>
                    <a:xfrm>
                      <a:off x="0" y="0"/>
                      <a:ext cx="5943600" cy="3429517"/>
                    </a:xfrm>
                    <a:prstGeom prst="rect">
                      <a:avLst/>
                    </a:prstGeom>
                  </pic:spPr>
                </pic:pic>
              </a:graphicData>
            </a:graphic>
          </wp: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目前註冊設備與候選動作，例如開冷氣、調整冷氣模式、開窗或開燈。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0.85、開窗至 0.7，或將主要照明調至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4-2 列出目前初始化可設定的內容。</w:t>
      </w:r>
    </w:p>
    <w:p>
      <w:pPr>
        <w:spacing w:before="0" w:after="0" w:line="360" w:lineRule="auto"/>
      </w:pPr>
      <w:r>
        <w:t xml:space="preserve">表 4-2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 與出風角度。</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Base field MAE、zone MAE、sensor MAE</w:t>
            </w:r>
          </w:p>
        </w:tc>
        <w:tc>
          <w:tcPr>
            <w:tcW w:w="2200" w:type="dxa"/>
          </w:tcPr>
          <w:p>
            <w:pPr>
              <w:spacing w:before="0" w:after="0" w:line="360" w:lineRule="auto"/>
            </w:pPr>
            <w:r>
              <w:t xml:space="preserve">受控條件下可重建完整 3D 場</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Hybrid residual robustness</w:t>
            </w:r>
          </w:p>
        </w:tc>
        <w:tc>
          <w:tcPr>
            <w:tcW w:w="2200" w:type="dxa"/>
          </w:tcPr>
          <w:p>
            <w:pPr>
              <w:spacing w:before="0" w:after="0" w:line="360" w:lineRule="auto"/>
            </w:pPr>
            <w:r>
              <w:t xml:space="preserve">default split、no-Fourier、8-fold leave-one-scenario-out</w:t>
            </w:r>
          </w:p>
        </w:tc>
        <w:tc>
          <w:tcPr>
            <w:tcW w:w="2200" w:type="dxa"/>
          </w:tcPr>
          <w:p>
            <w:pPr>
              <w:spacing w:before="0" w:after="0" w:line="360" w:lineRule="auto"/>
            </w:pPr>
            <w:r>
              <w:t xml:space="preserve">hybrid field MAE、train/test samples</w:t>
            </w:r>
          </w:p>
        </w:tc>
        <w:tc>
          <w:tcPr>
            <w:tcW w:w="2200" w:type="dxa"/>
          </w:tcPr>
          <w:p>
            <w:pPr>
              <w:spacing w:before="0" w:after="0" w:line="360" w:lineRule="auto"/>
            </w:pPr>
            <w:r>
              <w:t xml:space="preserve">標準情境 family 內 residual 可學習，且不是只依賴單一切分</w:t>
            </w:r>
          </w:p>
        </w:tc>
        <w:tc>
          <w:tcPr>
            <w:tcW w:w="2200" w:type="dxa"/>
          </w:tcPr>
          <w:p>
            <w:pPr>
              <w:spacing w:before="0" w:after="0" w:line="360" w:lineRule="auto"/>
            </w:pPr>
            <w:r>
              <w:t xml:space="preserve">不代表任意房間或任意家具配置泛化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wp:inline distT="0" distB="0" distL="0" distR="0">
            <wp:extent cx="5303520" cy="2900267"/>
            <wp:docPr id="6"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6" name="圖 5-1 驗證與實驗流程。此圖說明標準情境如何經由 truth adjustment、合成觀測、校正估測、baseline 比較與輸出摘要，形成第五章的實驗結果。"/>
                    <pic:cNvPicPr/>
                  </pic:nvPicPr>
                  <pic:blipFill>
                    <a:blip r:embed="rId6"/>
                    <a:stretch>
                      <a:fillRect/>
                    </a:stretch>
                  </pic:blipFill>
                  <pic:spPr>
                    <a:xfrm>
                      <a:off x="0" y="0"/>
                      <a:ext cx="5303520" cy="2900267"/>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7"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7" name="圖 5-2 三裝置同時作用（all\_active）之溫度場 3D 點雲視圖。每點為一個 16×12×6 網格樣本，顏色由藍綠（低溫）至橙紅（高溫）映射溫度分布。冷氣區域明顯偏藍，靠窗與靠燈區域則居溫度中高端。"/>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8"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8"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9"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9" name="圖 5-4 僅燈具作用（light\_only）之照度場 3D 點雲視圖。燈具正下方的測點照度最高（黃橙色），底層四角與遠端則由間接反射賦予少量回填亮度，顏色實現正確的照度衰減樣態。"/>
                    <pic:cNvPicPr/>
                  </pic:nvPicPr>
                  <pic:blipFill>
                    <a:blip r:embed="rId9"/>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【實驗 E6】Hybrid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10"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10" name="圖 5-5 IDW、base model 與 LOO hybrid residual correction 的平均 field MAE 比較。圖中使用 log-scale y-axis，數值為 8 組標準情境平均。"/>
                    <pic:cNvPicPr/>
                  </pic:nvPicPr>
                  <pic:blipFill>
                    <a:blip r:embed="rId10"/>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1"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1" name="圖 5-6 三裝置同時作用（all\_active）溫度場 3D 點雲。顏色由藍綠至橙紅對映 26.02–27.16 °C 範圍；設備位置用帶邊框的標記表示。"/>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2"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2" name="圖 5-7 僅開窗（window\_only）溫度場 3D 點雲。靠窗區域溫度最高，造成區域溫度梯度。可與 all\_active 情境對比，觀察冷氣介入後對窗邊高溫的抑制效果。"/>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3"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3" name="圖 5-8 僅燈具作用（light\_only）照度場 3D 點雲。燈具正下方照度最高，遠端補有少量的 single-bounce diffuse 回填；此情境也是 5.7 節 held-out 測試集之一。"/>
                    <pic:cNvPicPr/>
                  </pic:nvPicPr>
                  <pic:blipFill>
                    <a:blip r:embed="rId13"/>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2026-05-08T23:19:38.215598+08:00</dcterms:created>
  <dcterms:modified xsi:type="dcterms:W3CDTF">2026-05-08T23:19:38.215598+08:00</dcterms:modified>
</cp:coreProperties>
</file>