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本研究以單一矩形房間為研究場域，提出一個基於有限角落感測器與連續影響場估計之三因子空間數位孿生原型。研究過程中，本研究先後比較純插值、僅局部影響場與資料驅動修正等作法，最終採用變數專屬的 reduced-order nominal model 作為主模型，分別以熱交換與熱源項描述溫度、以水氣交換與除濕項描述濕度、以光源幾何、遮蔽與單次漫反射描述照度，再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demo，作為同一套模型能力的工具化存取層。評估方面，本研究採分層證據設計：以 8 組標準情境、48 組窗戶矩陣、IDW baseline 比較、synthetic ablation 與 hybrid residual leave-one-scenario-out 測試支持受控條件下的完整場重建主張；以公開資料集 task-aligned benchmark 檢查外部資料相容子任務；以 7 天真實臥室快照檢查稀疏感測校正對未參與校正點位的改善。其中 base model 在標準情境下之平均 MAE 分別為溫度 0.0474、濕度 0.1765 與照度 2.0835，明顯低於 IDW baseline 的 0.1723、0.4633 與 75.0516。加入 Fourier low-pass denoising 的 hybrid residual correction 在預設 6/2 held-out split 中可將 field MAE 降至溫度 0.0023、濕度 0.0041 與照度 0.1675；8-fold leave-one-scenario-out 平均則為 0.0017、0.0055 與 0.1581。真實臥室快照驗證中，校正後 pillow 位置 MAE 由 0.8967°C、4.1286% 與 358.6392 lux 降至 0.1676°C、0.3939% 與 21.3753 lux。推薦動作目前定位為基於校正模型的反事實模擬排序；若要驗證其實際因果改善效果，需進一步執行 before/after 介入實驗。</w:t>
      </w:r>
    </w:p>
    <w:p>
      <w:pPr>
        <w:spacing w:before="0" w:after="0" w:line="360" w:lineRule="auto"/>
      </w:pPr>
      <w:r>
        <w:t xml:space="preserve">公開資料集比較方面，本研究不是將公開資料硬解讀為完整 3D 場真值，而是把 SML2010 與 CU-BEMS 拆成公開資料本身可支援的 shared observable tasks，再以相同 chronological 70/30 split 比較 persistence、linear regression 與本研究模型映射後的 hybrid_digital_twin_readout。SML2010 共 24 個 target-horizon 任務中，本研究映射模型有 12 項取得最低 MAE，15 項勝過 linear regression，14 項勝過 persistence；其中 S3 facade event delta 在 60 分鐘 horizon 的 6 個 target 全部優於兩個 baseline。CU-BEMS 共 12 個 target-horizon 任務中，本研究映射模型有 9 項勝過 linear regression，但沒有任務勝過 persistence，顯示其優勢主要出現在具有幾何、邊界或事件結構的響應任務，而非所有高時間慣性建築時序預測任務。Web demo 也新增 Term Glossary 與 Public Dataset Comparison 區塊，使展示時可直接說明名詞、比較流程、數據來源與 claim boundary。</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uses variable-specific reduced-order nominal models with parameterized appliance influence functions, active-device power calibration, and trilinear residual correction from eight corner sensors: temperature is modeled through thermal exchange and heat-source terms, humidity through moisture exchange and dehumidification terms, and illuminance through source geometry, obstruction, and a lightweight one-bounce reflection approximation.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The evaluation separates controlled full-field evidence, public task-aligned comparisons, and real sparse-calibration checks. Across the canonical scenarios, the base model achieves average MAE of 0.0474 for temperature, 0.1765 for humidity, and 2.0835 for illuminance, compared with 0.1723, 0.4633, and 75.0516 for IDW. The hybrid residual layer with Fourier low-pass denoising on temperature and humidity residual traces further reduces default held-out field MAE to 0.0023, 0.0041, and 0.1675, while leave-one-scenario-out evaluation averages 0.0017, 0.0055, and 0.1581, respectively. A preliminary seven-day real-bedroom snapshot validation reduces pillow-point MAE from 0.8967, 4.1286, and 358.6392 to 0.1676, 0.3939, and 21.3753 for temperature, humidity, and illuminance. Action recommendations are treated as model-based counterfactual rankings; causal validation of recommendation efficacy requires a before/after intervention protocol.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For public head-to-head comparison, SML2010 and CU-BEMS are used only as task-aligned external benchmarks rather than dense 3D field ground truth. Raw public data are normalized, baseline models are evaluated on the same chronological 70/30 split, and the proposed digital twin plus hybrid residual checkpoint is mapped into a structured prior with a small linear readout head. The SML2010 comparison shows the strongest advantage on facade event delta tasks, especially the 60-minute horizon where all six S3 targets achieve the best MAE. CU-BEMS shows a different pattern: the mapped model often improves over linear regression but does not outperform persistence, which clarifies the model's claim boundary. The web demo exposes this comparison through a Public Dataset Comparison panel and includes a Term Glossary for presentation use.</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場重建誤差…… 13</w:t>
      </w:r>
    </w:p>
    <w:p>
      <w:pPr>
        <w:spacing w:before="0" w:after="0" w:line="360" w:lineRule="auto"/>
      </w:pPr>
      <w:r>
        <w:t xml:space="preserve">  5.3 IDW Baseline 比較…… 14</w:t>
      </w:r>
    </w:p>
    <w:p>
      <w:pPr>
        <w:spacing w:before="0" w:after="0" w:line="360" w:lineRule="auto"/>
      </w:pPr>
      <w:r>
        <w:t xml:space="preserve">  5.4 消融分析與可重現性補強…… 14</w:t>
      </w:r>
    </w:p>
    <w:p>
      <w:pPr>
        <w:spacing w:before="0" w:after="0" w:line="360" w:lineRule="auto"/>
      </w:pPr>
      <w:r>
        <w:t xml:space="preserve">  5.5 非連網裝置影響學習…… 14</w:t>
      </w:r>
    </w:p>
    <w:p>
      <w:pPr>
        <w:spacing w:before="0" w:after="0" w:line="360" w:lineRule="auto"/>
      </w:pPr>
      <w:r>
        <w:t xml:space="preserve">  5.6 窗戶時段、天氣、季節矩陣與直接輸入…… 14</w:t>
      </w:r>
    </w:p>
    <w:p>
      <w:pPr>
        <w:spacing w:before="0" w:after="0" w:line="360" w:lineRule="auto"/>
      </w:pPr>
      <w:r>
        <w:t xml:space="preserve">  5.7 Hybrid Residual Neural Network 結果…… 15</w:t>
      </w:r>
    </w:p>
    <w:p>
      <w:pPr>
        <w:spacing w:before="0" w:after="0" w:line="360" w:lineRule="auto"/>
      </w:pPr>
      <w:r>
        <w:t xml:space="preserve">  5.8 真實臥室快照驗證與推薦動作驗證方法…… 16</w:t>
      </w:r>
    </w:p>
    <w:p>
      <w:pPr>
        <w:spacing w:before="0" w:after="0" w:line="360" w:lineRule="auto"/>
      </w:pPr>
      <w:r>
        <w:t xml:space="preserve">  5.9 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可旋轉 3D 展示……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pPr>
        <w:spacing w:before="0" w:after="0" w:line="360" w:lineRule="auto"/>
      </w:pPr>
      <w:r>
        <w:t xml:space="preserve">附錄 D 後續 IEEE 稿件資料來源原則…… 24</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SML2010 Benchmark 代表性結果…… 18</w:t>
      </w:r>
    </w:p>
    <w:p>
      <w:pPr>
        <w:spacing w:before="0" w:after="0" w:line="360" w:lineRule="auto"/>
      </w:pPr>
      <w:r>
        <w:t xml:space="preserve">表 5-10 CU-BEMS Benchmark 代表性結果…… 18</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三裝置全開溫度場 3D 點雲（5.11 節）…… 19</w:t>
      </w:r>
    </w:p>
    <w:p>
      <w:pPr>
        <w:spacing w:before="0" w:after="0" w:line="360" w:lineRule="auto"/>
      </w:pPr>
      <w:r>
        <w:t xml:space="preserve">圖 5-7 僅開窗溫度場 3D 點雲（window_only）…… 18</w:t>
      </w:r>
    </w:p>
    <w:p>
      <w:pPr>
        <w:spacing w:before="0" w:after="0" w:line="360" w:lineRule="auto"/>
      </w:pPr>
      <w:r>
        <w:t xml:space="preserve">圖 5-8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model：溫度採熱交換與熱源近似，濕度採水氣交換與除濕近似，照度採光源幾何、遮蔽與反射近似；三者再共用稀疏感測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594360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意義</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r>
      <w:tr>
        <w:tc>
          <w:tcPr>
            <w:tcW w:w="2200" w:type="dxa"/>
          </w:tcPr>
          <w:p>
            <w:pPr>
              <w:spacing w:before="0" w:after="0" w:line="360" w:lineRule="auto"/>
            </w:pPr>
            <w:r>
              <w:t xml:space="preserve">$T_{\mathrm{out}},H_{\mathrm{out}},S_{\mathrm{out}}$</w:t>
            </w:r>
          </w:p>
        </w:tc>
        <w:tc>
          <w:tcPr>
            <w:tcW w:w="2200" w:type="dxa"/>
          </w:tcPr>
          <w:p>
            <w:pPr>
              <w:spacing w:before="0" w:after="0" w:line="360" w:lineRule="auto"/>
            </w:pPr>
            <w:r>
              <w:t xml:space="preserve">室外溫度、室外相對濕度與外部日照照度</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scale，可由感測資料校正</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房間混合係數，用於控制垂直分層強度</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形成的三線性校正場</w:t>
            </w:r>
          </w:p>
        </w:tc>
      </w:tr>
    </w:tbl>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p>
      <w:pPr>
        <w:spacing w:before="0" w:after="0" w:line="360" w:lineRule="auto"/>
      </w:pPr>
      <w:r>
        <w:t xml:space="preserve">照度場的 nominal model 採用光源、日照、遮蔽與反射近似，不使用溫濕度的全室混合項：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E_{\mathrm{light}}(\mathbf{p},t),\\L_{\mathrm{win}}^{\mathrm{amb}}(\mathbf{p},t)&amp;=\beta_{\mathrm{amb}}L_0P_{\mathrm{win}}A_{\mathrm{win}}(t)\exp(-\|\mathbf{p}-\mathbf{p}_{\mathrm{win}}\|/(1.8r_{\mathrm{win}}))\end{aligned}</w:t>
      </w:r>
    </w:p>
    <w:p>
      <w:pPr>
        <w:spacing w:before="0" w:after="0" w:line="360" w:lineRule="auto"/>
      </w:pPr>
      <w:r>
        <w:t xml:space="preserve">其中 $L_0$ 為室內基準照度，$S_{\mathrm{out}}$ 為外部日照照度，$d_f$ 為 daylight factor，$k_{\mathrm{sol}}$ 為窗戶日照增益，$G_{\mathrm{light}}$ 為燈具照度增益，$\beta_{\mathrm{amb}}$ 為窗邊散射背景光係數。$I^{\mathrm{refl}}$ 是 3.4 節定義的 single-bounce diffuse reflection。照度模型的重點在於光源位置、方向性、距離衰減、遮蔽與表面反射，因此它與溫度、濕度的熱交換或水氣交換公式不同。</w:t>
      </w:r>
    </w:p>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pPr>
        <w:spacing w:before="0" w:after="0" w:line="360" w:lineRule="auto"/>
      </w:pPr>
      <w:r>
        <w:t xml:space="preserve">具體而言，系統先以目前感測資料校正模型，取得目標區域目前三因子估計值並計算 baseline comfort penalty。接著，對每一個候選動作建立反事實情境：例如將冷氣 activation 調至 0.85、開窗至 0.7，或將主要照明調至 0.8，再重新模擬目標區域的溫度、濕度與照度。候選動作分數定義為 baseline penalty 減去動作後預測 penalty，因此分數愈高代表模型預期改善愈大。</w:t>
      </w:r>
    </w:p>
    <w:p>
      <w:pPr>
        <w:spacing w:before="0" w:after="0" w:line="360" w:lineRule="auto"/>
      </w:pPr>
      <w:r>
        <w:t xml:space="preserve">comfort penalty 對每個因子使用目標值與容許範圍計算：若預測值落在容許範圍內，該因子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4-2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2.0835；各因子的最大 MAE 分別為 0.0481、0.1770 與 2.5774。照度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圖。冷氣氣流影響區域（後牆靠左側）溫度明顯下降，距冷氣較遠的靠窗區域溫度相對較高，展示溫度 nominal model 對全室熱響應與局部梯度的同時建模能力。"/>
            <wp:cNvGraphicFramePr>
              <a:graphicFrameLocks noChangeAspect="1"/>
            </wp:cNvGraphicFramePr>
            <a:graphic>
              <a:graphicData uri="http://schemas.openxmlformats.org/drawingml/2006/picture">
                <pic:pic>
                  <pic:nvPicPr>
                    <pic:cNvPr id="7" name="圖 5-3 僅冷氣作用（ac\_only）之溫度場 3D 點雲視圖。冷氣氣流影響區域（後牆靠左側）溫度明顯下降，距冷氣較遠的靠窗區域溫度相對較高，展示溫度 nominal model 對全室熱響應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wp:inline distT="0" distB="0" distL="0" distR="0">
            <wp:extent cx="5303520" cy="5303520"/>
            <wp:docPr id="8"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2.5774</w:t>
            </w:r>
          </w:p>
        </w:tc>
        <w:tc>
          <w:tcPr>
            <w:tcW w:w="2200" w:type="dxa"/>
          </w:tcPr>
          <w:p>
            <w:pPr>
              <w:spacing w:before="0" w:after="0" w:line="360" w:lineRule="auto"/>
            </w:pPr>
            <w:r>
              <w:t xml:space="preserve">112.2559</w:t>
            </w:r>
          </w:p>
        </w:tc>
        <w:tc>
          <w:tcPr>
            <w:tcW w:w="2200" w:type="dxa"/>
          </w:tcPr>
          <w:p>
            <w:pPr>
              <w:spacing w:before="0" w:after="0" w:line="360" w:lineRule="auto"/>
            </w:pPr>
            <w:r>
              <w:t xml:space="preserve">97.7%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2.0276</w:t>
            </w:r>
          </w:p>
        </w:tc>
        <w:tc>
          <w:tcPr>
            <w:tcW w:w="2200" w:type="dxa"/>
          </w:tcPr>
          <w:p>
            <w:pPr>
              <w:spacing w:before="0" w:after="0" w:line="360" w:lineRule="auto"/>
            </w:pPr>
            <w:r>
              <w:t xml:space="preserve">151.2615</w:t>
            </w:r>
          </w:p>
        </w:tc>
        <w:tc>
          <w:tcPr>
            <w:tcW w:w="2200" w:type="dxa"/>
          </w:tcPr>
          <w:p>
            <w:pPr>
              <w:spacing w:before="0" w:after="0" w:line="360" w:lineRule="auto"/>
            </w:pPr>
            <w:r>
              <w:t xml:space="preserve">98.7%</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2.5008</w:t>
            </w:r>
          </w:p>
        </w:tc>
        <w:tc>
          <w:tcPr>
            <w:tcW w:w="2200" w:type="dxa"/>
          </w:tcPr>
          <w:p>
            <w:pPr>
              <w:spacing w:before="0" w:after="0" w:line="360" w:lineRule="auto"/>
            </w:pPr>
            <w:r>
              <w:t xml:space="preserve">105.2485</w:t>
            </w:r>
          </w:p>
        </w:tc>
        <w:tc>
          <w:tcPr>
            <w:tcW w:w="2200" w:type="dxa"/>
          </w:tcPr>
          <w:p>
            <w:pPr>
              <w:spacing w:before="0" w:after="0" w:line="360" w:lineRule="auto"/>
            </w:pPr>
            <w:r>
              <w:t xml:space="preserve">97.6%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2.0399</w:t>
            </w:r>
          </w:p>
        </w:tc>
        <w:tc>
          <w:tcPr>
            <w:tcW w:w="2200" w:type="dxa"/>
          </w:tcPr>
          <w:p>
            <w:pPr>
              <w:spacing w:before="0" w:after="0" w:line="360" w:lineRule="auto"/>
            </w:pPr>
            <w:r>
              <w:t xml:space="preserve">131.6092</w:t>
            </w:r>
          </w:p>
        </w:tc>
        <w:tc>
          <w:tcPr>
            <w:tcW w:w="2200" w:type="dxa"/>
          </w:tcPr>
          <w:p>
            <w:pPr>
              <w:spacing w:before="0" w:after="0" w:line="360" w:lineRule="auto"/>
            </w:pPr>
            <w:r>
              <w:t xml:space="preserve">98.5%</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75.0516</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4.4267</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0.0471</w:t>
            </w:r>
          </w:p>
        </w:tc>
        <w:tc>
          <w:tcPr>
            <w:tcW w:w="2200" w:type="dxa"/>
          </w:tcPr>
          <w:p>
            <w:pPr>
              <w:spacing w:before="0" w:after="0" w:line="360" w:lineRule="auto"/>
            </w:pPr>
            <w:r>
              <w:t xml:space="preserve">0.1761</w:t>
            </w:r>
          </w:p>
        </w:tc>
        <w:tc>
          <w:tcPr>
            <w:tcW w:w="2200" w:type="dxa"/>
          </w:tcPr>
          <w:p>
            <w:pPr>
              <w:spacing w:before="0" w:after="0" w:line="360" w:lineRule="auto"/>
            </w:pPr>
            <w:r>
              <w:t xml:space="preserve">3.6792</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3.7532</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0.0448</w:t>
            </w:r>
          </w:p>
        </w:tc>
        <w:tc>
          <w:tcPr>
            <w:tcW w:w="2200" w:type="dxa"/>
          </w:tcPr>
          <w:p>
            <w:pPr>
              <w:spacing w:before="0" w:after="0" w:line="360" w:lineRule="auto"/>
            </w:pPr>
            <w:r>
              <w:t xml:space="preserve">0.0278</w:t>
            </w:r>
          </w:p>
        </w:tc>
        <w:tc>
          <w:tcPr>
            <w:tcW w:w="2200" w:type="dxa"/>
          </w:tcPr>
          <w:p>
            <w:pPr>
              <w:spacing w:before="0" w:after="0" w:line="360" w:lineRule="auto"/>
            </w:pPr>
            <w:r>
              <w:t xml:space="preserve">1.3586</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2.0835</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5.7 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2.3087，分別降至 0.0023、0.0041 與 0.1675。對應改善比例約為溫度 95.15%、濕度 97.68% 與照度 92.74%。</w:t>
      </w:r>
    </w:p>
    <w:p>
      <w:pPr>
        <w:spacing w:before="0" w:after="0" w:line="360" w:lineRule="auto"/>
      </w:pPr>
      <w:r>
        <w:t xml:space="preserve">為檢查 Fourier denoising 是否造成主要降幅，本研究另外關閉 Fourier low-pass denoising 重跑相同切分；結果為 temperature 0.0022、humidity 0.0045、illuminance 0.1675。此結果顯示，頻域低通主要對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0.0055、illuminance 0.1581，對應改善比例為 96.41%、96.88% 與 92.41%。</w:t>
      </w:r>
    </w:p>
    <w:p>
      <w:pPr>
        <w:spacing w:before="0" w:after="0" w:line="360" w:lineRule="auto"/>
      </w:pPr>
      <w:r>
        <w:t xml:space="preserve">表 5-5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0.0023 / 0.0041 / 0.1675</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0.0022 / 0.0045 / 0.1675</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2.0835</w:t>
            </w:r>
          </w:p>
        </w:tc>
        <w:tc>
          <w:tcPr>
            <w:tcW w:w="2200" w:type="dxa"/>
          </w:tcPr>
          <w:p>
            <w:pPr>
              <w:spacing w:before="0" w:after="0" w:line="360" w:lineRule="auto"/>
            </w:pPr>
            <w:r>
              <w:t xml:space="preserve">0.0017 / 0.0055 / 0.1581</w:t>
            </w:r>
          </w:p>
        </w:tc>
      </w:tr>
    </w:tbl>
    <w:p>
      <w:pPr>
        <w:jc w:val="center"/>
        <w:spacing w:after="120" w:line="360" w:lineRule="auto"/>
      </w:pPr>
      <w:r>
        <w:drawing>
          <wp:inline distT="0" distB="0" distL="0" distR="0">
            <wp:extent cx="5303520" cy="2536466"/>
            <wp:docPr id="9"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9" name="圖 5-5 IDW、base model 與 LOO hybrid residual correction 的平均 field MAE 比較。圖中使用 log-scale y-axis，數值為 8 組標準情境平均。"/>
                    <pic:cNvPicPr/>
                  </pic:nvPicPr>
                  <pic:blipFill>
                    <a:blip r:embed="rId9"/>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358.6392 lux，下降至校正後的 0.1676°C、0.3939% 與 21.3753 lux，顯示同一套 sparse-sensor calibration 管線可實際吸收真實房間觀測並改善非感測點估計。</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358.6392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21.3753</w:t>
            </w:r>
          </w:p>
        </w:tc>
        <w:tc>
          <w:tcPr>
            <w:tcW w:w="2200" w:type="dxa"/>
          </w:tcPr>
          <w:p>
            <w:pPr>
              <w:spacing w:before="0" w:after="0" w:line="360" w:lineRule="auto"/>
            </w:pPr>
            <w:r>
              <w:t xml:space="preserve">0.1052</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65.6203</w:t>
            </w:r>
          </w:p>
        </w:tc>
        <w:tc>
          <w:tcPr>
            <w:tcW w:w="2200" w:type="dxa"/>
          </w:tcPr>
          <w:p>
            <w:pPr>
              <w:spacing w:before="0" w:after="0" w:line="360" w:lineRule="auto"/>
            </w:pPr>
            <w:r>
              <w:t xml:space="preserve">0.1024</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spacing w:before="0" w:after="0" w:line="360" w:lineRule="auto"/>
      </w:pPr>
      <w:r>
        <w:t xml:space="preserve">表 5-9 列出 SML2010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整體統計上，SML2010 共包含 24 個 target-horizon 任務，本研究映射模型在 12 項取得最低 MAE，15 項勝過 linear regression，14 項勝過 persistence。最明確的優勢集中在 S3 facade event delta：15 分鐘 horizon 下 6 個 target 中有 5 項勝過 linear regression、4 項勝過 persistence；60 分鐘 horizon 下 6 個 target 全部同時勝過兩個 baseline。這表示本研究的 structured prior 在邊界條件突變、長視窗熱響應與事件型變化量任務上最有幫助。</w:t>
      </w:r>
    </w:p>
    <w:p>
      <w:pPr>
        <w:spacing w:before="0" w:after="0" w:line="360" w:lineRule="auto"/>
      </w:pPr>
      <w:r>
        <w:t xml:space="preserve">表 5-10 列出 CU-BEMS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5.9.1 優勢分析</w:t>
      </w:r>
    </w:p>
    <w:p>
      <w:pPr>
        <w:spacing w:before="0" w:after="0" w:line="360" w:lineRule="auto"/>
      </w:pPr>
      <w:r>
        <w:t xml:space="preserve">第一項優勢是事件或邊界變化任務的趨勢追蹤能力。在 SML2010 S3 任務中，persistence 的 Correlation 值全為 0.000，原因是任務標的為 facade 條件變化後的 delta response，前一時步值無法提供變化方向。相較之下，本研究模型在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5.9.2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綜合三項指標，本研究的設計優勢集中在「SML2010 S3 這類邊界/事件響應任務、長視窗溫度響應、以及相對 linear regression 的 structured prior 補強」，弱點則在「短視窗純照度預測」、「CU-BEMS 這類高時間慣性 zone-level forecasting 任務」與「與本研究感測拓樸不匹配之外部資料集的濕度估計」。這與本研究的設計定位一致：模型的核心目的是空間場估計與裝置影響學習，而非最小化單一時序預測指標。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中加入全室平均響應與垂直分層近似；照度則改以光源幾何、遮蔽與反射近似處理，而不套用同一個全室混合模型。第二，若只以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可旋轉 3D 展示</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5-6 至 5-8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10" name="圖 5-6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0" name="圖 5-6 三裝置同時作用（all\_active）溫度場 3D 點雲。顏色由藍綠至橙紅對映 26.02–27.16 °C 範圍；設備位置用帶邊框的標記表示。"/>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1" name="圖 5-7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1" name="圖 5-7 僅開窗（window\_only）溫度場 3D 點雲。靠窗區域溫度最高，造成區域溫度梯度。可與 all\_active 情境對比，觀察冷氣介入後對窗邊高溫的抑制效果。"/>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2" name="圖 5-8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2" name="圖 5-8 僅燈具作用（light\_only）照度場 3D 點雲。燈具正下方照度最高，遠端補有少量的 single-bounce diffuse 回填；此情境也是 5.7 節 held-out 測試集之一。"/>
                    <pic:cNvPicPr/>
                  </pic:nvPicPr>
                  <pic:blipFill>
                    <a:blip r:embed="rId1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5-8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21.3753 lux。此結果不等同於完整 3D 場 ground truth，但已證明本研究的 sparse-sensor calibration pipeline 可直接接入真實房間資料。</w:t>
      </w:r>
    </w:p>
    <w:p>
      <w:pPr>
        <w:spacing w:before="0" w:after="0" w:line="360" w:lineRule="auto"/>
      </w:pPr>
      <w:r>
        <w:t xml:space="preserve">對推薦動作而言，本研究目前完成的是模型導向的反事實排序與驗證方法設計，而非真實閉環控制。實際因果驗證應以介入前後量測為準，檢查排名第一的動作是否帶來正的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目前已加入小型真實臥室快照驗證，但仍缺乏長期連續部署資料與 dense spatial ground truth。</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控制功能目前為推薦排序，尚未完成真實介入式因果驗證，也尚未進入自動閉環控制。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依溫度、濕度與照度的不同物理特性建立低階主模型；溫度偏熱交換與熱源，濕度偏水氣交換與除濕，照度偏光源幾何、遮蔽與反射。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bl>
    <w:p>
      <w:pPr>
        <w:pStyle w:val="Heading1"/>
        <w:spacing w:before="0" w:after="0" w:line="360" w:lineRule="auto"/>
      </w:pPr>
      <w:r>
        <w:rPr>
          <w:b/>
        </w:rPr>
        <w:t xml:space="preserve">附錄 D：後續 IEEE 稿件資料來源原則</w:t>
      </w:r>
    </w:p>
    <w:p>
      <w:pPr>
        <w:spacing w:before="0" w:after="0" w:line="360" w:lineRule="auto"/>
      </w:pPr>
      <w:r>
        <w:t xml:space="preserve">本中文論文完整稿作為後續 IEEE 稿件的主要資料來源。未來若需撰寫或修改 IEEE paper，應先從本中文論文抽取研究問題、方法架構、實驗設定、資料集限制、評估指標、表格數字與結論，再依 IEEE 篇幅壓縮文字；不應在 IEEE 稿件中另行加入與中文論文不同的 benchmark 數字、claim boundary 或方法描述。</w:t>
      </w:r>
    </w:p>
    <w:p>
      <w:pPr>
        <w:spacing w:before="0" w:after="0" w:line="360" w:lineRule="auto"/>
      </w:pPr>
      <w:r>
        <w:t xml:space="preserve">若後續實驗新增或數字更新，應先更新中文論文與其輸出，再由中文論文同步萃取到 IEEE 稿件。對公開資料集尤其要保留本論文的限制寫法：SML2010 與 CU-BEMS 可支援 task-aligned external benchmark，但不能宣稱完整 3D field MAE、8-corner calibration 或完整非連網裝置係數學習。</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2026-05-04T20:25:25.279712+08:00</dcterms:created>
  <dcterms:modified xsi:type="dcterms:W3CDTF">2026-05-04T20:25:25.279712+08:00</dcterms:modified>
</cp:coreProperties>
</file>