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實際房間中常見的冷氣、窗戶與照明往往沒有連網能力，也無法直接回報狀態；同時，房間內通常只能布建少量感測器，難以直接量測完整空間分布。這使得一般數位孿生若同時缺乏設備遙測與高密度量測，便難以對真實房間提供可用的環境估計與控制建議。</w:t>
      </w:r>
    </w:p>
    <w:p>
      <w:pPr>
        <w:spacing w:before="0" w:after="0" w:line="360" w:lineRule="auto"/>
      </w:pPr>
      <w:r>
        <w:t xml:space="preserve">本研究以單一矩形房間為研究場域，提出一個基於有限角落感測器與連續影響場估計之三因子空間數位孿生原型。研究過程中，本研究先後比較純插值、僅局部影響場與資料驅動修正等作法，最終採用變數專屬的 reduced-order nominal model 作為主模型，分別以熱交換與熱源項描述溫度、以水氣交換與除濕項描述濕度、以光源幾何、遮蔽與單次漫反射描述照度，再以冷氣、窗戶與照明之參數化影響函數描述非連網裝置對不同區域的作用。系統固定使用 8 顆角落感測器，即天花板四角與地面四角，每個節點量測溫度、濕度與照度，並以感測器殘差進行主動設備 power scale 校準與 trilinear residual correction，以修正背景場與設備影響函數之偏差。在此基礎上，本研究再加入 hybrid residual neural network 延伸模組，以小型多層感知器學習主模型的剩餘誤差，而不直接取代原本的可解釋結構。</w:t>
      </w:r>
    </w:p>
    <w:p>
      <w:pPr>
        <w:spacing w:before="0" w:after="0" w:line="360" w:lineRule="auto"/>
      </w:pPr>
      <w:r>
        <w:t xml:space="preserve">除空間場估計外，本研究亦建立裝置啟用前後感測資料之影響學習流程，透過最小平方法估計非連網裝置的環境影響係數，並根據目標區域的舒適度偏差輸出候選控制動作排序。為補足 direct source + obstruction 對照度間接回填亮度的低估，本研究另在 illuminance 路徑加入 lightweight single-bounce diffuse reflection 近似，以地板、天花板、牆面與啟用中的家具表面作為次級反射面。為提升系統可存取性，本研究另提供本地服務介面，其中包含 MCP server 與 web demo，作為同一套模型能力的工具化存取層。評估方面，本研究採分層證據設計：以 8 組標準情境、48 組窗戶矩陣、IDW baseline 比較、synthetic ablation 與 hybrid residual leave-one-scenario-out 測試支持受控條件下的完整場重建主張；以公開資料集 task-aligned benchmark 檢查外部資料相容子任務；以 7 天真實臥室快照檢查稀疏感測校正對未參與校正點位的改善。其中 base model 在標準情境下之平均 MAE 分別為溫度 0.0474、濕度 0.1765 與照度 2.0835，明顯低於 IDW baseline 的 0.1723、0.4633 與 75.0516。加入 Fourier low-pass denoising 的 hybrid residual correction 在預設 6/2 held-out split 中可將 field MAE 降至溫度 0.0023、濕度 0.0041 與照度 0.1675；8-fold leave-one-scenario-out 平均則為 0.0017、0.0055 與 0.1581。真實臥室快照驗證中，校正後 pillow 位置 MAE 由 0.8967°C、4.1286% 與 358.6392 lux 降至 0.1676°C、0.3939% 與 21.3753 lux。推薦動作目前定位為基於校正模型的反事實模擬排序；若要驗證其實際因果改善效果，需進一步執行 before/after 介入實驗。</w:t>
      </w:r>
    </w:p>
    <w:p>
      <w:pPr>
        <w:spacing w:before="0" w:after="0" w:line="360" w:lineRule="auto"/>
      </w:pPr>
      <w:r>
        <w:t xml:space="preserve">公開資料集比較方面，本研究不是將公開資料硬解讀為完整 3D 場真值，而是把 SML2010 與 CU-BEMS 拆成公開資料本身可支援的 shared observable tasks，再以相同 chronological 70/30 split 比較 persistence、linear regression 與本研究模型映射後的 hybrid_digital_twin_readout。SML2010 共 24 個 target-horizon 任務中，本研究映射模型有 12 項取得最低 MAE，15 項勝過 linear regression，14 項勝過 persistence；其中 S3 facade event delta 在 60 分鐘 horizon 的 6 個 target 全部優於兩個 baseline。CU-BEMS 共 12 個 target-horizon 任務中，本研究映射模型有 9 項勝過 linear regression，但沒有任務勝過 persistence，顯示其優勢主要出現在具有幾何、邊界或事件結構的響應任務，而非所有高時間慣性建築時序預測任務。Web demo 也新增 Term Glossary 與 Public Dataset Comparison 區塊，使展示時可直接說明名詞、比較流程、數據來源與 claim boundary。</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to support comfort assessment, energy management, and device control. In ordinary rooms, however, influential appliances such as conventional air conditioners, manual windows, and ordinary lights often expose no telemetry, while only a small number of sensors can be installed. As a result, practical room-scale digital twins must work with both sparse observations and incomplete device-state information.</w:t>
      </w:r>
    </w:p>
    <w:p>
      <w:pPr>
        <w:spacing w:before="0" w:after="0" w:line="360" w:lineRule="auto"/>
      </w:pPr>
      <w:r>
        <w:t xml:space="preserve">This thesis proposes a sparse-sensing spatial digital twin for a single room. The final design uses variable-specific reduced-order nominal models with parameterized appliance influence functions, active-device power calibration, and trilinear residual correction from eight corner sensors: temperature is modeled through thermal exchange and heat-source terms, humidity through moisture exchange and dehumidification terms, and illuminance through source geometry, obstruction, and a lightweight one-bounce reflection approximation. The system further learns environmental impact coefficients of non-networked appliances from before-and-after sensor observations, ranks candidate control actions according to target-zone comfort improvement, and extends the base estimator with an optional hybrid residual neural correction layer instead of replacing the base model with an end-to-end black-box predictor.</w:t>
      </w:r>
    </w:p>
    <w:p>
      <w:pPr>
        <w:spacing w:before="0" w:after="0" w:line="360" w:lineRule="auto"/>
      </w:pPr>
      <w:r>
        <w:t xml:space="preserve">The prototype is implemented in Python and exposed through a local service layer, including an MCP interface and a rotatable web demo, enabling interactive scenario queries, point-level estimation, baseline comparison, appliance-impact learning, and a 48-case window simulation matrix across time of day, weather, and season. A lightweight one-bounce diffuse reflection approximation is further added to the illuminance path so that floors, walls, ceilings, and active furniture surfaces can contribute indirect fill light without requiring full optical rendering. The evaluation separates controlled full-field evidence, public task-aligned comparisons, and real sparse-calibration checks. Across the canonical scenarios, the base model achieves average MAE of 0.0474 for temperature, 0.1765 for humidity, and 2.0835 for illuminance, compared with 0.1723, 0.4633, and 75.0516 for IDW. The hybrid residual layer with Fourier low-pass denoising on temperature and humidity residual traces further reduces default held-out field MAE to 0.0023, 0.0041, and 0.1675, while leave-one-scenario-out evaluation averages 0.0017, 0.0055, and 0.1581, respectively. A preliminary seven-day real-bedroom snapshot validation reduces pillow-point MAE from 0.8967, 4.1286, and 358.6392 to 0.1676, 0.3939, and 21.3753 for temperature, humidity, and illuminance. Action recommendations are treated as model-based counterfactual rankings; causal validation of recommendation efficacy requires a before/after intervention protocol. These results indicate that sparse corner sensing can still support an interpretable and trainable indoor twin when model structure, calibration, and learning are assigned to different layers.</w:t>
      </w:r>
    </w:p>
    <w:p>
      <w:pPr>
        <w:spacing w:before="0" w:after="0" w:line="360" w:lineRule="auto"/>
      </w:pPr>
      <w:r>
        <w:t xml:space="preserve">For public head-to-head comparison, SML2010 and CU-BEMS are used only as task-aligned external benchmarks rather than dense 3D field ground truth. Raw public data are normalized, baseline models are evaluated on the same chronological 70/30 split, and the proposed digital twin plus hybrid residual checkpoint is mapped into a structured prior with a small linear readout head. The SML2010 comparison shows the strongest advantage on facade event delta tasks, especially the 60-minute horizon where all six S3 targets achieve the best MAE. CU-BEMS shows a different pattern: the mapped model often improves over linear regression but does not outperform persistence, which clarifies the model's claim boundary. The web demo exposes this comparison through a Public Dataset Comparison panel and includes a Term Glossary for presentation use.</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pPr>
        <w:spacing w:before="0" w:after="0" w:line="360" w:lineRule="auto"/>
      </w:pPr>
      <w:r>
        <w:t xml:space="preserve">附錄 D 後續 IEEE 稿件資料來源原則…… 24</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SML2010 Benchmark 代表性結果…… 18</w:t>
      </w:r>
    </w:p>
    <w:p>
      <w:pPr>
        <w:spacing w:before="0" w:after="0" w:line="360" w:lineRule="auto"/>
      </w:pPr>
      <w:r>
        <w:t xml:space="preserve">表 5-10 CU-BEMS Benchmark 代表性結果……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model：溫度採熱交換與熱源近似，濕度採水氣交換與除濕近似，照度採光源幾何、遮蔽與反射近似；三者再共用稀疏感測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server，使情境查詢、場估計、動作排序、點位取樣與窗戶條件模擬等功能，可被 AI agent 直接使用。需要強調的是，MCP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scenario 評估如何從輸入設定、場估計、校正、到 dashboard 與 MCP 輸出。"/>
            <wp:cNvGraphicFramePr>
              <a:graphicFrameLocks noChangeAspect="1"/>
            </wp:cNvGraphicFramePr>
            <a:graphic>
              <a:graphicData uri="http://schemas.openxmlformats.org/drawingml/2006/picture">
                <pic:pic>
                  <pic:nvPicPr>
                    <pic:cNvPr id="2" name="圖 3-2 主要執行資料流。此圖對應一次 scenario 評估如何從輸入設定、場估計、校正、到 dashboard 與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scenario 評估如何從輸入設定、場估計、校正、到 dashboard 與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意義</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r>
      <w:tr>
        <w:tc>
          <w:tcPr>
            <w:tcW w:w="2200" w:type="dxa"/>
          </w:tcPr>
          <w:p>
            <w:pPr>
              <w:spacing w:before="0" w:after="0" w:line="360" w:lineRule="auto"/>
            </w:pPr>
            <w:r>
              <w:t xml:space="preserve">$T_{\mathrm{out}},H_{\mathrm{out}},S_{\mathrm{out}}$</w:t>
            </w:r>
          </w:p>
        </w:tc>
        <w:tc>
          <w:tcPr>
            <w:tcW w:w="2200" w:type="dxa"/>
          </w:tcPr>
          <w:p>
            <w:pPr>
              <w:spacing w:before="0" w:after="0" w:line="360" w:lineRule="auto"/>
            </w:pPr>
            <w:r>
              <w:t xml:space="preserve">室外溫度、室外相對濕度與外部日照照度</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scale，可由感測資料校正</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房間混合係數，用於控制垂直分層強度</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形成的三線性校正場</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p>
      <w:pPr>
        <w:pStyle w:val="Heading3"/>
        <w:spacing w:before="0" w:after="0" w:line="360" w:lineRule="auto"/>
      </w:pPr>
      <w:r>
        <w:rPr>
          <w:b/>
        </w:rPr>
        <w:t xml:space="preserve">3.3.4 照度場模型</w:t>
      </w:r>
    </w:p>
    <w:p>
      <w:pPr>
        <w:spacing w:before="0" w:after="0" w:line="360" w:lineRule="auto"/>
      </w:pPr>
      <w:r>
        <w:t xml:space="preserve">照度場的 nominal model 採用光源、日照、遮蔽與反射近似，不使用溫濕度的全室混合項：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E_{\mathrm{light}}(\mathbf{p},t),\\L_{\mathrm{win}}^{\mathrm{amb}}(\mathbf{p},t)&amp;=\beta_{\mathrm{amb}}L_0P_{\mathrm{win}}A_{\mathrm{win}}(t)\exp(-\|\mathbf{p}-\mathbf{p}_{\mathrm{win}}\|/(1.8r_{\mathrm{win}}))\end{aligned}</w:t>
      </w:r>
    </w:p>
    <w:p>
      <w:pPr>
        <w:spacing w:before="0" w:after="0" w:line="360" w:lineRule="auto"/>
      </w:pPr>
      <w:r>
        <w:t xml:space="preserve">其中 $L_0$ 為室內基準照度，$S_{\mathrm{out}}$ 為外部日照照度，$d_f$ 為 daylight factor，$k_{\mathrm{sol}}$ 為窗戶日照增益，$G_{\mathrm{light}}$ 為燈具照度增益，$\beta_{\mathrm{amb}}$ 為窗邊散射背景光係數。$I^{\mathrm{refl}}$ 是 3.4 節定義的 single-bounce diffuse reflection。照度模型的重點在於光源位置、方向性、距離衰減、遮蔽與表面反射，因此它與溫度、濕度的熱交換或水氣交換公式不同。</w:t>
      </w:r>
    </w:p>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target。此設計的目的在於保留主模型可解釋性，同時以資料驅動方式修正其剩餘誤差。</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 residual 常含短時感測雜訊，直接訓練會使模型學到高頻擾動。</w:t>
            </w:r>
          </w:p>
        </w:tc>
        <w:tc>
          <w:tcPr>
            <w:tcW w:w="2200" w:type="dxa"/>
          </w:tcPr>
          <w:p>
            <w:pPr>
              <w:spacing w:before="0" w:after="0" w:line="360" w:lineRule="auto"/>
            </w:pPr>
            <w:r>
              <w:t xml:space="preserve">在頻域抑制高頻成分並保留低頻趨勢，讓 residual target 更接近可重現的環境變化。</w:t>
            </w:r>
          </w:p>
        </w:tc>
        <w:tc>
          <w:tcPr>
            <w:tcW w:w="2200" w:type="dxa"/>
          </w:tcPr>
          <w:p>
            <w:pPr>
              <w:spacing w:before="0" w:after="0" w:line="360" w:lineRule="auto"/>
            </w:pPr>
            <w:r>
              <w:t xml:space="preserve">本文不將它套用於照度 residual，因為照明變化本身可能具有快速且有意義的跳變。</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提供下列 tools：</w:t>
      </w:r>
    </w:p>
    <w:p>
      <w:pPr>
        <w:ind w:left="720" w:hanging="360" w:firstLine="0"/>
        <w:spacing w:before="0" w:after="0" w:line="360" w:lineRule="auto"/>
      </w:pPr>
      <w:r>
        <w:t xml:space="preserve">• list_scenarios：列出 8 組標準驗證情境。</w:t>
      </w:r>
    </w:p>
    <w:p>
      <w:pPr>
        <w:ind w:left="720" w:hanging="360" w:firstLine="0"/>
        <w:spacing w:before="0" w:after="0" w:line="360" w:lineRule="auto"/>
      </w:pPr>
      <w:r>
        <w:t xml:space="preserve">• list_window_scenarios：列出 48 組窗戶時段/天氣/季節情境。</w:t>
      </w:r>
    </w:p>
    <w:p>
      <w:pPr>
        <w:ind w:left="720" w:hanging="360" w:firstLine="0"/>
        <w:spacing w:before="0" w:after="0" w:line="360" w:lineRule="auto"/>
      </w:pPr>
      <w:r>
        <w:t xml:space="preserve">• run_scenario：執行情境並回傳重建誤差與目標區域估計。</w:t>
      </w:r>
    </w:p>
    <w:p>
      <w:pPr>
        <w:ind w:left="720" w:hanging="360" w:firstLine="0"/>
        <w:spacing w:before="0" w:after="0" w:line="360" w:lineRule="auto"/>
      </w:pPr>
      <w:r>
        <w:t xml:space="preserve">• rank_actions：依目標區域舒適度改善排序候選動作。</w:t>
      </w:r>
    </w:p>
    <w:p>
      <w:pPr>
        <w:ind w:left="720" w:hanging="360" w:firstLine="0"/>
        <w:spacing w:before="0" w:after="0" w:line="360" w:lineRule="auto"/>
      </w:pPr>
      <w:r>
        <w:t xml:space="preserve">• sample_point：估計指定座標的 temperature、humidity 與 illuminance。</w:t>
      </w:r>
    </w:p>
    <w:p>
      <w:pPr>
        <w:ind w:left="720" w:hanging="360" w:firstLine="0"/>
        <w:spacing w:before="0" w:after="0" w:line="360" w:lineRule="auto"/>
      </w:pPr>
      <w:r>
        <w:t xml:space="preserve">• compare_baseline：比較本研究模型與 IDW baseline。</w:t>
      </w:r>
    </w:p>
    <w:p>
      <w:pPr>
        <w:ind w:left="720" w:hanging="360" w:firstLine="0"/>
        <w:spacing w:before="0" w:after="0" w:line="360" w:lineRule="auto"/>
      </w:pPr>
      <w:r>
        <w:t xml:space="preserve">• learn_impacts：由前後感測資料學習非連網裝置影響。</w:t>
      </w:r>
    </w:p>
    <w:p>
      <w:pPr>
        <w:ind w:left="720" w:hanging="360" w:firstLine="0"/>
        <w:spacing w:before="0" w:after="0" w:line="360" w:lineRule="auto"/>
      </w:pPr>
      <w:r>
        <w:t xml:space="preserve">• run_window_matrix：執行全部 48 組窗戶矩陣模擬。</w:t>
      </w:r>
    </w:p>
    <w:p>
      <w:pPr>
        <w:ind w:left="720" w:hanging="360" w:firstLine="0"/>
        <w:spacing w:before="0" w:after="0" w:line="360" w:lineRule="auto"/>
      </w:pPr>
      <w:r>
        <w:t xml:space="preserve">• run_window_direct：直接輸入外部溫度、濕度、日照與開窗比例，執行窗戶影響模擬。</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4-2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Base field MAE、zone MAE、sensor MAE</w:t>
            </w:r>
          </w:p>
        </w:tc>
        <w:tc>
          <w:tcPr>
            <w:tcW w:w="2200" w:type="dxa"/>
          </w:tcPr>
          <w:p>
            <w:pPr>
              <w:spacing w:before="0" w:after="0" w:line="360" w:lineRule="auto"/>
            </w:pPr>
            <w:r>
              <w:t xml:space="preserve">受控條件下可重建完整 3D 場</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Hybrid residual robustness</w:t>
            </w:r>
          </w:p>
        </w:tc>
        <w:tc>
          <w:tcPr>
            <w:tcW w:w="2200" w:type="dxa"/>
          </w:tcPr>
          <w:p>
            <w:pPr>
              <w:spacing w:before="0" w:after="0" w:line="360" w:lineRule="auto"/>
            </w:pPr>
            <w:r>
              <w:t xml:space="preserve">default split、no-Fourier、8-fold leave-one-scenario-out</w:t>
            </w:r>
          </w:p>
        </w:tc>
        <w:tc>
          <w:tcPr>
            <w:tcW w:w="2200" w:type="dxa"/>
          </w:tcPr>
          <w:p>
            <w:pPr>
              <w:spacing w:before="0" w:after="0" w:line="360" w:lineRule="auto"/>
            </w:pPr>
            <w:r>
              <w:t xml:space="preserve">hybrid field MAE、train/test samples</w:t>
            </w:r>
          </w:p>
        </w:tc>
        <w:tc>
          <w:tcPr>
            <w:tcW w:w="2200" w:type="dxa"/>
          </w:tcPr>
          <w:p>
            <w:pPr>
              <w:spacing w:before="0" w:after="0" w:line="360" w:lineRule="auto"/>
            </w:pPr>
            <w:r>
              <w:t xml:space="preserve">標準情境 family 內 residual 可學習，且不是只依賴單一切分</w:t>
            </w:r>
          </w:p>
        </w:tc>
        <w:tc>
          <w:tcPr>
            <w:tcW w:w="2200" w:type="dxa"/>
          </w:tcPr>
          <w:p>
            <w:pPr>
              <w:spacing w:before="0" w:after="0" w:line="360" w:lineRule="auto"/>
            </w:pPr>
            <w:r>
              <w:t xml:space="preserve">不代表任意房間或任意家具配置泛化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【實驗 E6】Hybrid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spacing w:before="0" w:after="0" w:line="360" w:lineRule="auto"/>
      </w:pPr>
      <w:r>
        <w:t xml:space="preserve">表 5-9 列出 SML2010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整體統計上，SML2010 共包含 24 個 target-horizon 任務，本研究映射模型在 12 項取得最低 MAE，15 項勝過 linear regression，14 項勝過 persistence。最明確的優勢集中在 S3 facade event delta：15 分鐘 horizon 下 6 個 target 中有 5 項勝過 linear regression、4 項勝過 persistence；60 分鐘 horizon 下 6 個 target 全部同時勝過兩個 baseline。這表示本研究的 structured prior 在邊界條件突變、長視窗熱響應與事件型變化量任務上最有幫助。</w:t>
      </w:r>
    </w:p>
    <w:p>
      <w:pPr>
        <w:spacing w:before="0" w:after="0" w:line="360" w:lineRule="auto"/>
      </w:pPr>
      <w:r>
        <w:t xml:space="preserve">表 5-10 列出 CU-BEMS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5.9.1 優勢分析</w:t>
      </w:r>
    </w:p>
    <w:p>
      <w:pPr>
        <w:spacing w:before="0" w:after="0" w:line="360" w:lineRule="auto"/>
      </w:pPr>
      <w:r>
        <w:t xml:space="preserve">第一項優勢是事件或邊界變化任務的趨勢追蹤能力。在 SML2010 S3 任務中，persistence 的 Correlation 值全為 0.000，原因是任務標的為 facade 條件變化後的 delta response，前一時步值無法提供變化方向。相較之下，本研究模型在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綜合三項指標，本研究的設計優勢集中在「SML2010 S3 這類邊界/事件響應任務、長視窗溫度響應、以及相對 linear regression 的 structured prior 補強」，弱點則在「短視窗純照度預測」、「CU-BEMS 這類高時間慣性 zone-level forecasting 任務」與「與本研究感測拓樸不匹配之外部資料集的濕度估計」。這與本研究的設計定位一致：模型的核心目的是空間場估計與裝置影響學習，而非最小化單一時序預測指標。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中加入全室平均響應與垂直分層近似；照度則改以光源幾何、遮蔽與反射近似處理，而不套用同一個全室混合模型。第二，若只以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依溫度、濕度與照度的不同物理特性建立低階主模型；溫度偏熱交換與熱源，濕度偏水氣交換與除濕，照度偏光源幾何、遮蔽與反射。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bl>
    <w:p>
      <w:pPr>
        <w:pStyle w:val="Heading1"/>
        <w:spacing w:before="0" w:after="0" w:line="360" w:lineRule="auto"/>
      </w:pPr>
      <w:r>
        <w:rPr>
          <w:b/>
        </w:rPr>
        <w:t xml:space="preserve">附錄 D：後續 IEEE 稿件資料來源原則</w:t>
      </w:r>
    </w:p>
    <w:p>
      <w:pPr>
        <w:spacing w:before="0" w:after="0" w:line="360" w:lineRule="auto"/>
      </w:pPr>
      <w:r>
        <w:t xml:space="preserve">本中文論文完整稿作為後續 IEEE 稿件的主要資料來源。未來若需撰寫或修改 IEEE paper，應先從本中文論文抽取研究問題、方法架構、實驗設定、資料集限制、評估指標、表格數字與結論，再依 IEEE 篇幅壓縮文字；不應在 IEEE 稿件中另行加入與中文論文不同的 benchmark 數字、claim boundary 或方法描述。</w:t>
      </w:r>
    </w:p>
    <w:p>
      <w:pPr>
        <w:spacing w:before="0" w:after="0" w:line="360" w:lineRule="auto"/>
      </w:pPr>
      <w:r>
        <w:t xml:space="preserve">若後續實驗新增或數字更新，應先更新中文論文與其輸出，再由中文論文同步萃取到 IEEE 稿件。對公開資料集尤其要保留本論文的限制寫法：SML2010 與 CU-BEMS 可支援 task-aligned external benchmark，但不能宣稱完整 3D field MAE、8-corner calibration 或完整非連網裝置係數學習。</w:t>
      </w:r>
    </w:p>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2026-05-06T12:22:25.780359+08:00</dcterms:created>
  <dcterms:modified xsi:type="dcterms:W3CDTF">2026-05-06T12:22:25.780359+08:00</dcterms:modified>
</cp:coreProperties>
</file>