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本研究以單一矩形房間為研究場域，提出一個基於有限角落感測器與連續影響場估計之三因子空間數位孿生原型。研究過程中，本研究先後比較純插值、僅局部影響場與資料驅動修正等作法，最終採用變數專屬的 reduced-order nominal model 作為主模型，分別以熱交換與熱源項描述溫度、以水氣交換與除濕項描述濕度、以光源幾何、遮蔽與單次漫反射描述照度，再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公開資料集比較方面，本研究不是將公開資料硬解讀為完整 3D 場真值，而是把 SML2010 與 CU-BEMS 拆成公開資料本身可支援的 shared observable tasks，再以相同 chronological 70/30 split 比較 persistence、linear regression 與本研究模型映射後的 hybrid_digital_twin_readout。SML2010 共 24 個 target-horizon 任務中，本研究映射模型有 12 項取得最低 MAE，15 項勝過 linear regression，14 項勝過 persistence；其中 S3 facade event delta 在 60 分鐘 horizon 的 6 個 target 全部優於兩個 baseline。CU-BEMS 共 12 個 target-horizon 任務中，本研究映射模型有 9 項勝過 linear regression，但沒有任務勝過 persistence，顯示其優勢主要出現在具有幾何、邊界或事件結構的響應任務，而非所有高時間慣性建築時序預測任務。Web demo 也新增 Term Glossary 與 Public Dataset Comparison 區塊，使展示時可直接說明名詞、比較流程、數據來源與 claim boundary。</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uses variable-specific reduced-order nominal models with parameterized appliance influence functions, active-device power calibration, and trilinear residual correction from eight corner sensors: temperature is modeled through thermal exchange and heat-source terms, humidity through moisture exchange and dehumidification terms, and illuminance through source geometry, obstruction, and a lightweight one-bounce reflection approximation.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For public head-to-head comparison, SML2010 and CU-BEMS are used only as task-aligned external benchmarks rather than dense 3D field ground truth. Raw public data are normalized, baseline models are evaluated on the same chronological 70/30 split, and the proposed digital twin plus hybrid residual checkpoint is mapped into a structured prior with a small linear readout head. The SML2010 comparison shows the strongest advantage on facade event delta tasks, especially the 60-minute horizon where all six S3 targets achieve the best MAE. CU-BEMS shows a different pattern: the mapped model often improves over linear regression but does not outperform persistence, which clarifies the model's claim boundary. The web demo exposes this comparison through a Public Dataset Comparison panel and includes a Term Glossary for presentation use.</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真實臥室快照驗證與推薦動作驗證方法…… 16</w:t>
      </w:r>
    </w:p>
    <w:p>
      <w:pPr>
        <w:spacing w:before="0" w:after="0" w:line="360" w:lineRule="auto"/>
      </w:pPr>
      <w:r>
        <w:t xml:space="preserve">  5.9 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可旋轉 3D 展示……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pPr>
        <w:spacing w:before="0" w:after="0" w:line="360" w:lineRule="auto"/>
      </w:pPr>
      <w:r>
        <w:t xml:space="preserve">附錄 D 後續 IEEE 稿件資料來源原則…… 24</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p>
      <w:pPr>
        <w:pStyle w:val="Heading1"/>
        <w:spacing w:before="0" w:after="0" w:line="360" w:lineRule="auto"/>
      </w:pPr>
      <w:r>
        <w:rPr>
          <w:b/>
        </w:rPr>
        <w:t xml:space="preserve">附錄 D：後續 IEEE 稿件資料來源原則</w:t>
      </w:r>
    </w:p>
    <w:p>
      <w:pPr>
        <w:spacing w:before="0" w:after="0" w:line="360" w:lineRule="auto"/>
      </w:pPr>
      <w:r>
        <w:t xml:space="preserve">本中文論文完整稿作為後續 IEEE 稿件的主要資料來源。未來若需撰寫或修改 IEEE paper，應先從本中文論文抽取研究問題、方法架構、實驗設定、資料集限制、評估指標、表格數字與結論，再依 IEEE 篇幅壓縮文字；不應在 IEEE 稿件中另行加入與中文論文不同的 benchmark 數字、claim boundary 或方法描述。</w:t>
      </w:r>
    </w:p>
    <w:p>
      <w:pPr>
        <w:spacing w:before="0" w:after="0" w:line="360" w:lineRule="auto"/>
      </w:pPr>
      <w:r>
        <w:t xml:space="preserve">若後續實驗新增或數字更新，應先更新中文論文與其輸出，再由中文論文同步萃取到 IEEE 稿件。對公開資料集尤其要保留本論文的限制寫法：SML2010 與 CU-BEMS 可支援 task-aligned external benchmark，但不能宣稱完整 3D field MAE、8-corner calibration 或完整非連網裝置係數學習。</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2026-05-05T14:36:59.520526+08:00</dcterms:created>
  <dcterms:modified xsi:type="dcterms:W3CDTF">2026-05-05T14:36:59.520526+08:00</dcterms:modified>
</cp:coreProperties>
</file>