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xml="http://www.w3.org/XML/1998/namespace"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ind w:firstLine="0"/>
        <w:spacing w:before="0" w:after="0" w:line="360" w:lineRule="auto"/>
      </w:pPr>
      <w:r>
        <w:rPr>
          <w:b/>
        </w:rPr>
        <w:t xml:space="preserve">國立彰化師範大學</w:t>
        <w:br/>
        <w:t xml:space="preserve">資訊工程學系碩士班</w:t>
        <w:br/>
        <w:t xml:space="preserve">碩士論文初稿</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w:t>
      </w:r>
    </w:p>
    <w:p>
      <w:pPr>
        <w:jc w:val="center"/>
        <w:ind w:firstLine="0"/>
        <w:spacing w:before="0" w:after="0" w:line="360" w:lineRule="auto"/>
      </w:pPr>
      <w:r>
        <w:t xml:space="preserve">版本：論文初稿 v0.2</w:t>
      </w:r>
    </w:p>
    <w:p>
      <w:pPr>
        <w:jc w:val="center"/>
        <w:ind w:firstLine="0"/>
        <w:spacing w:before="0" w:after="0" w:line="360" w:lineRule="auto"/>
      </w:pPr>
      <w:r>
        <w:t xml:space="preserve">日期：2026 年 4 月 15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單房間非連網家電環境影響學習之稀疏感測空間數位孪生原型</w:t>
      </w:r>
    </w:p>
    <w:p>
      <w:pPr>
        <w:spacing w:before="0" w:after="0" w:line="360" w:lineRule="auto"/>
      </w:pPr>
      <w:r>
        <w:t xml:space="preserve">研究生：林易佑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指導教授：易欖霸 博士</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本研究能夠完成，首先感謝指導教授易欖霸博士在研究方向、方法與寫作上的您考與支持，以及歷位口試委員的指正與建議。感謝學業上對我的幫助與歷位師長提供的學習環境。也感謝家人的支持與包容。</w:t>
      </w:r>
    </w:p>
    <w:p>
      <w:pPr>
        <w:spacing w:before="0" w:after="0" w:line="360" w:lineRule="auto"/>
      </w:pPr>
      <w:r>
        <w:t xml:space="preserve">林易佑 謹誌於</w:t>
      </w:r>
    </w:p>
    <w:p>
      <w:pPr>
        <w:spacing w:before="0" w:after="0" w:line="360" w:lineRule="auto"/>
      </w:pPr>
      <w:r>
        <w:t xml:space="preserve">國立彰化師範大學資訊工程學系（所）</w:t>
      </w:r>
    </w:p>
    <w:p>
      <w:pPr>
        <w:spacing w:before="0" w:after="0" w:line="360" w:lineRule="auto"/>
      </w:pPr>
      <w:r>
        <w:t xml:space="preserve">中華民國 115 年 4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實際房間中常見的冷氣、窗戶與照明往往沒有連網能力，也無法直接回報狀態；同時，房間內通常只能布建少量感測器，難以直接量測完整空間分布。這使得一般數位孿生若同時缺乏設備遙測與高密度量測，便難以對真實房間提供可用的環境估計與控制建議。</w:t>
      </w:r>
    </w:p>
    <w:p>
      <w:pPr>
        <w:spacing w:before="0" w:after="0" w:line="360" w:lineRule="auto"/>
      </w:pPr>
      <w:r>
        <w:t xml:space="preserve">本研究以單一矩形房間為研究場域，提出一個基於有限角落感測器與連續影響場估計之三因子空間數位孿生原型。研究過程中，本研究先後比較純插值、僅局部影響場與資料驅動修正等作法，最終採用 bulk + local field 作為主模型，並以冷氣、窗戶與照明之參數化影響函數描述非連網裝置對不同區域的作用。系統固定使用 8 顆角落感測器，即天花板四角與地面四角，每個節點量測溫度、濕度與照度，並以感測器殘差進行主動設備 power scale 校準與 trilinear residual correction，以修正背景場與設備影響函數之偏差。在此基礎上，本研究再加入 hybrid residual neural network 延伸模組，以小型多層感知器學習主模型的剩餘誤差，而不直接取代原本的可解釋結構。</w:t>
      </w:r>
    </w:p>
    <w:p>
      <w:pPr>
        <w:spacing w:before="0" w:after="0" w:line="360" w:lineRule="auto"/>
      </w:pPr>
      <w:r>
        <w:t xml:space="preserve">除空間場估計外，本研究亦建立裝置啟用前後感測資料之影響學習流程，透過最小平方法估計非連網裝置的環境影響係數，並根據目標區域的舒適度偏差輸出候選控制動作排序。為補足 direct source + obstruction 對照度間接回填亮度的低估，本研究另在 illuminance 路徑加入 lightweight single-bounce diffuse reflection 近似，以地板、天花板、牆面與啟用中的家具表面作為次級反射面。為提升系統可存取性，本研究另提供本地服務介面，其中包含 MCP server 與 web demo，作為同一套模型能力的工具化存取層。評估方面，本研究以 8 組標準情境、48 組窗戶矩陣、IDW baseline 比較與 hybrid residual held-out 測試驗證方法可行性；其中 base model 在標準情境下之平均 MAE 分別為溫度 0.0474、濕度 0.1764 與照度 2.1288，而加入 Fourier low-pass denoising 的 hybrid residual correction 在 held-out 情境下可進一步將 field MAE 降至溫度 0.0026、濕度 0.0040 與照度 0.1752。</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to support comfort assessment, energy management, and device control. In ordinary rooms, however, influential appliances such as conventional air conditioners, manual windows, and ordinary lights often expose no telemetry, while only a small number of sensors can be installed. As a result, practical room-scale digital twins must work with both sparse observations and incomplete device-state information.</w:t>
      </w:r>
    </w:p>
    <w:p>
      <w:pPr>
        <w:spacing w:before="0" w:after="0" w:line="360" w:lineRule="auto"/>
      </w:pPr>
      <w:r>
        <w:t xml:space="preserve">This thesis proposes a sparse-sensing spatial digital twin for a single room. The final design is a reduced-order bulk-plus-local field model with parameterized appliance influence functions, active-device power calibration, and trilinear residual correction from eight corner sensors. The system further learns environmental impact coefficients of non-networked appliances from before-and-after sensor observations, ranks candidate control actions according to target-zone comfort improvement, and extends the base estimator with an optional hybrid residual neural correction layer instead of replacing the base model with an end-to-end black-box predictor.</w:t>
      </w:r>
    </w:p>
    <w:p>
      <w:pPr>
        <w:spacing w:before="0" w:after="0" w:line="360" w:lineRule="auto"/>
      </w:pPr>
      <w:r>
        <w:t xml:space="preserve">The prototype is implemented in Python and exposed through a local service layer, including an MCP interface and a rotatable web demo, enabling interactive scenario queries, point-level estimation, baseline comparison, appliance-impact learning, and a 48-case window simulation matrix across time of day, weather, and season. A lightweight one-bounce diffuse reflection approximation is further added to the illuminance path so that floors, walls, ceilings, and active furniture surfaces can contribute indirect fill light without requiring full optical rendering. Across the canonical scenarios, the base model achieves average MAE of 0.0474 for temperature, 0.1764 for humidity, and 2.1288 for illuminance, while the hybrid residual layer with Fourier low-pass denoising on temperature and humidity residual traces further reduces held-out field MAE to 0.0026, 0.0040, and 0.1752, respectively. These results indicate that sparse corner sensing can still support an interpretable and trainable indoor twin when model structure, calibration, and learning are assigned to different layers.</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空間插値與場估計…… 3</w:t>
      </w:r>
    </w:p>
    <w:p>
      <w:pPr>
        <w:spacing w:before="0" w:after="0" w:line="360" w:lineRule="auto"/>
      </w:pPr>
      <w:r>
        <w:t xml:space="preserve">  2.3 數位孪生與智慧建築……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第三章 系統架構與數學模型…… 7</w:t>
      </w:r>
    </w:p>
    <w:p>
      <w:pPr>
        <w:spacing w:before="0" w:after="0" w:line="360" w:lineRule="auto"/>
      </w:pPr>
      <w:r>
        <w:t xml:space="preserve">  3.1 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場重建誤差…… 13</w:t>
      </w:r>
    </w:p>
    <w:p>
      <w:pPr>
        <w:spacing w:before="0" w:after="0" w:line="360" w:lineRule="auto"/>
      </w:pPr>
      <w:r>
        <w:t xml:space="preserve">  5.3 IDW Baseline 比較…… 14</w:t>
      </w:r>
    </w:p>
    <w:p>
      <w:pPr>
        <w:spacing w:before="0" w:after="0" w:line="360" w:lineRule="auto"/>
      </w:pPr>
      <w:r>
        <w:t xml:space="preserve">  5.4 非連網裝置影響學習…… 14</w:t>
      </w:r>
    </w:p>
    <w:p>
      <w:pPr>
        <w:spacing w:before="0" w:after="0" w:line="360" w:lineRule="auto"/>
      </w:pPr>
      <w:r>
        <w:t xml:space="preserve">  5.5 窗戸時段、天氣、季節矩陣與直接輸入…… 14</w:t>
      </w:r>
    </w:p>
    <w:p>
      <w:pPr>
        <w:spacing w:before="0" w:after="0" w:line="360" w:lineRule="auto"/>
      </w:pPr>
      <w:r>
        <w:t xml:space="preserve">  5.6 Hybrid Residual Neural Network 結果…… 14</w:t>
      </w:r>
    </w:p>
    <w:p>
      <w:pPr>
        <w:spacing w:before="0" w:after="0" w:line="360" w:lineRule="auto"/>
      </w:pPr>
      <w:r>
        <w:t xml:space="preserve">  5.7 公開資料集 Task-Aligned Benchmark 結果…… 15</w:t>
      </w:r>
    </w:p>
    <w:p>
      <w:pPr>
        <w:spacing w:before="0" w:after="0" w:line="360" w:lineRule="auto"/>
      </w:pPr>
      <w:r>
        <w:t xml:space="preserve">  5.8 研究過程與實作挑戰…… 18</w:t>
      </w:r>
    </w:p>
    <w:p>
      <w:pPr>
        <w:spacing w:before="0" w:after="0" w:line="360" w:lineRule="auto"/>
      </w:pPr>
      <w:r>
        <w:t xml:space="preserve">  5.9 可旋轉 3D 展示…… 18</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22</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5-1 標準情境結果摘要…… 13</w:t>
      </w:r>
    </w:p>
    <w:p>
      <w:pPr>
        <w:spacing w:before="0" w:after="0" w:line="360" w:lineRule="auto"/>
      </w:pPr>
      <w:r>
        <w:t xml:space="preserve">表 5-2 窗戸矩陣情境節選…… 14</w:t>
      </w:r>
    </w:p>
    <w:p>
      <w:pPr>
        <w:spacing w:before="0" w:after="0" w:line="360" w:lineRule="auto"/>
      </w:pPr>
      <w:r>
        <w:t xml:space="preserve">表 5-3 Benchmark 層級設計…… 15</w:t>
      </w:r>
    </w:p>
    <w:p>
      <w:pPr>
        <w:spacing w:before="0" w:after="0" w:line="360" w:lineRule="auto"/>
      </w:pPr>
      <w:r>
        <w:t xml:space="preserve">表 5-4 SML2010 Benchmark 結果…… 15</w:t>
      </w:r>
    </w:p>
    <w:p>
      <w:pPr>
        <w:spacing w:before="0" w:after="0" w:line="360" w:lineRule="auto"/>
      </w:pPr>
      <w:r>
        <w:t xml:space="preserve">表 5-5 CU-BEMS Benchmark 結果…… 17</w:t>
      </w:r>
    </w:p>
    <w:p>
      <w:r>
        <w:br w:type="page"/>
      </w:r>
    </w:p>
    <w:p>
      <w:pPr>
        <w:pStyle w:val="Heading1"/>
        <w:spacing w:before="0" w:after="0" w:line="360" w:lineRule="auto"/>
      </w:pPr>
      <w:r>
        <w:rPr>
          <w:b/>
        </w:rPr>
        <w:t xml:space="preserve">圖目錄</w:t>
      </w:r>
    </w:p>
    <w:p>
      <w:pPr>
        <w:spacing w:before="0" w:after="0" w:line="360" w:lineRule="auto"/>
      </w:pPr>
      <w:r>
        <w:t xml:space="preserve">圖 3-1 系統整體分層架構……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5-1 驗證與實驗流程…… 13</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 bulk + local field 架構、感測器校正流程，以及只把神經網路放在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RQ3：學習後的裝置影響模型，是否能依三因子偏差輸出候選控制動作排序，例如選擇開冷氣、開窗或開燈？</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控制功能只做候選動作排序，不做自動閉環控制。</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 bulk + local field、active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 與 hybrid spatial model 提供了介於 well-mixed room model 與 CFD 之間的折衷途徑，可在維持較低計算成本的同時保留主要空間差異 [4][5][6]。因此，本研究將場模型設計為 bulk + local field：以 bulk state 描述房間整體平均狀態的時間收斂，以 local field 表示設備附近與特定區域的空間差異，藉此兼顧可解釋性與可計算性。</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server，使情境查詢、場估計、動作排序、點位取樣與窗戶條件模擬等功能，可被 AI agent 直接使用。需要強調的是，MCP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系統架構</w:t>
      </w:r>
    </w:p>
    <w:p>
      <w:pPr>
        <w:spacing w:before="0" w:after="0" w:line="360" w:lineRule="auto"/>
      </w:pPr>
      <w:r>
        <w:t xml:space="preserve">本研究系統由五個主要模組組成：房間與設備設定、三因子影響場模型、角落感測器校正、非連網裝置影響學習、以及控制動作排序與 MCP 工具介面。整體流程為：輸入房間幾何、設備位置與外部環境條件後，模型先建立背景場，再加入設備影響函數，接著使用 8 顆角落感測器觀測值校準 active device power scale 並建立 trilinear 校正場，最後輸出任意座標或目標區域的三因子估計與候選控制動作排序。</w:t>
      </w:r>
    </w:p>
    <w:p>
      <w:pPr>
        <w:jc w:val="center"/>
        <w:spacing w:after="120" w:line="360" w:lineRule="auto"/>
      </w:pPr>
      <w:r>
        <w:drawing>
          <wp:inline distT="0" distB="0" distL="0" distR="0">
            <wp:extent cx="5303520" cy="5303520"/>
            <wp:docPr id="1" name="圖 3-1 系統整體分層架構。此圖說明 Web、MCP/Gemma 入口如何共用 service layer，並串接主模型與 hybrid residual layer。"/>
            <wp:cNvGraphicFramePr>
              <a:graphicFrameLocks noChangeAspect="1"/>
            </wp:cNvGraphicFramePr>
            <a:graphic>
              <a:graphicData uri="http://schemas.openxmlformats.org/drawingml/2006/picture">
                <pic:pic>
                  <pic:nvPicPr>
                    <pic:cNvPr id="1" name="圖 3-1 系統整體分層架構。此圖說明 Web、MCP/Gemma 入口如何共用 service layer，並串接主模型與 hybrid residual layer。"/>
                    <pic:cNvPicPr/>
                  </pic:nvPicPr>
                  <pic:blipFill>
                    <a:blip r:embed="rId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3-1 系統整體分層架構。此圖說明 Web、MCP/Gemma 入口如何共用 service layer，並串接主模型與 hybrid residual layer。</w:t>
      </w:r>
    </w:p>
    <w:p>
      <w:pPr>
        <w:jc w:val="center"/>
        <w:spacing w:after="120" w:line="360" w:lineRule="auto"/>
      </w:pPr>
      <w:r>
        <w:drawing>
          <wp:inline distT="0" distB="0" distL="0" distR="0">
            <wp:extent cx="5303520" cy="5303520"/>
            <wp:docPr id="2" name="圖 3-2 主要執行資料流。此圖對應一次 scenario 評估如何從輸入設定、場估計、校正、到 dashboard 與 MCP 輸出。"/>
            <wp:cNvGraphicFramePr>
              <a:graphicFrameLocks noChangeAspect="1"/>
            </wp:cNvGraphicFramePr>
            <a:graphic>
              <a:graphicData uri="http://schemas.openxmlformats.org/drawingml/2006/picture">
                <pic:pic>
                  <pic:nvPicPr>
                    <pic:cNvPr id="2" name="圖 3-2 主要執行資料流。此圖對應一次 scenario 評估如何從輸入設定、場估計、校正、到 dashboard 與 MCP 輸出。"/>
                    <pic:cNvPicPr/>
                  </pic:nvPicPr>
                  <pic:blipFill>
                    <a:blip r:embed="rId2"/>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3-2 主要執行資料流。此圖對應一次 scenario 評估如何從輸入設定、場估計、校正、到 dashboard 與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wp:inline distT="0" distB="0" distL="0" distR="0">
            <wp:extent cx="5303520" cy="5303520"/>
            <wp:docPr id="3" name="圖 3-3 房間感測器與目標區域配置。8 顆角落感測器、3 個主要區域與 3 個核心裝置共同構成單房間數位孿生的標準拓樸。"/>
            <wp:cNvGraphicFramePr>
              <a:graphicFrameLocks noChangeAspect="1"/>
            </wp:cNvGraphicFramePr>
            <a:graphic>
              <a:graphicData uri="http://schemas.openxmlformats.org/drawingml/2006/picture">
                <pic:pic>
                  <pic:nvPicPr>
                    <pic:cNvPr id="3" name="圖 3-3 房間感測器與目標區域配置。8 顆角落感測器、3 個主要區域與 3 個核心裝置共同構成單房間數位孿生的標準拓樸。"/>
                    <pic:cNvPicPr/>
                  </pic:nvPicPr>
                  <pic:blipFill>
                    <a:blip r:embed="rId3"/>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任一環境因素 v 的估計場可表示為：</w:t>
      </w:r>
    </w:p>
    <w:p>
      <w:pPr>
        <w:jc w:val="center"/>
        <w:ind w:firstLine="0"/>
        <w:spacing w:before="0" w:after="0" w:line="360" w:lineRule="auto"/>
      </w:pPr>
      <w:r>
        <w:t xml:space="preserve">F_v(\mathbf{p},t) = B_v^{\text{bulk}}(t) + B_v^{\text{local}}(\mathbf{p},t) + \sum_j I_{j,v}^{\text{local}}(\mathbf{p},t) + C_v(\mathbf{p})</w:t>
      </w:r>
    </w:p>
    <w:p>
      <w:pPr>
        <w:ind w:left="720" w:hanging="360" w:firstLine="0"/>
        <w:spacing w:before="0" w:after="0" w:line="360" w:lineRule="auto"/>
      </w:pPr>
      <w:r>
        <w:t xml:space="preserve">• $B_v^{\text{bulk}}$：房間整體平均狀態，描述全室在時間軸上逐漸接近準穩態的平均變化。</w:t>
      </w:r>
    </w:p>
    <w:p>
      <w:pPr>
        <w:ind w:left="720" w:hanging="360" w:firstLine="0"/>
        <w:spacing w:before="0" w:after="0" w:line="360" w:lineRule="auto"/>
      </w:pPr>
      <w:r>
        <w:t xml:space="preserve">• $B_v^{\text{local}}$：局部背景場，保留簡化垂直分層與空間差異。</w:t>
      </w:r>
    </w:p>
    <w:p>
      <w:pPr>
        <w:ind w:left="720" w:hanging="360" w:firstLine="0"/>
        <w:spacing w:before="0" w:after="0" w:line="360" w:lineRule="auto"/>
      </w:pPr>
      <w:r>
        <w:t xml:space="preserve">• $I_{j,v}^{\text{local}}$：第 $j$ 個設備對環境因素 $v$ 的局部影響函數。</w:t>
      </w:r>
    </w:p>
    <w:p>
      <w:pPr>
        <w:ind w:left="720" w:hanging="360" w:firstLine="0"/>
        <w:spacing w:before="0" w:after="0" w:line="360" w:lineRule="auto"/>
      </w:pPr>
      <w:r>
        <w:t xml:space="preserve">• $C_v$：由感測器殘差推估出的校正場。</w:t>
      </w:r>
    </w:p>
    <w:p>
      <w:pPr>
        <w:spacing w:before="0" w:after="0" w:line="360" w:lineRule="auto"/>
      </w:pPr>
      <w:r>
        <w:t xml:space="preserve">其中 bulk 與 local 的分離是本研究模型的重要改良。若僅使用局部影響場，容易產生冷氣附近很冷，但房間遠端幾乎維持原溫的不合理結果；加入 bulk state 後，模型能同時表示整體房間平均溫濕度的時間響應，以及冷氣出風口、窗邊交換與照明附近的局部差異。此設計也更接近 reduced-order spatial twin 與 zonal or hybrid model 的方法定位 [4][6]。</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p>
      <w:pPr>
        <w:jc w:val="center"/>
        <w:spacing w:after="120" w:line="360" w:lineRule="auto"/>
      </w:pPr>
      <w:r>
        <w:drawing>
          <wp:inline distT="0" distB="0" distL="0" distR="0">
            <wp:extent cx="5303520" cy="5303520"/>
            <wp:docPr id="4" name="圖 3-4 感測器校正與影響學習流程。此圖說明真值模擬、角落觀測、設備 power calibration、trilinear residual correction，以及 least-squares impact learning 之間的關係。"/>
            <wp:cNvGraphicFramePr>
              <a:graphicFrameLocks noChangeAspect="1"/>
            </wp:cNvGraphicFramePr>
            <a:graphic>
              <a:graphicData uri="http://schemas.openxmlformats.org/drawingml/2006/picture">
                <pic:pic>
                  <pic:nvPicPr>
                    <pic:cNvPr id="4" name="圖 3-4 感測器校正與影響學習流程。此圖說明真值模擬、角落觀測、設備 power calibration、trilinear residual correction，以及 least-squares impact learning 之間的關係。"/>
                    <pic:cNvPicPr/>
                  </pic:nvPicPr>
                  <pic:blipFill>
                    <a:blip r:embed="rId4"/>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\boldsymbol{\varphi}_i = [x_i,\, y_i,\, z_i,\, t_i,\, \text{indoor baseline},\, \text{outdoor conditions},\, F_{\text{temp}},\, F_{\text{hum}},\, F_{\text{illum}},\, \text{device activations},\, \text{device powers},\, \text{influence envelopes}]</w:t>
      </w:r>
    </w:p>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learning、bulk parameter calibration 或 hybrid residual neural training。此設計的優點在於，即使未來資料來源從模擬切換到真實 ESP32 量測，資料進入訓練流程的接口仍可保持一致。</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 bulk + local field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target。此設計的目的在於保留主模型可解釋性，同時以資料驅動方式修正其剩餘誤差。</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系統針對每個候選動作模擬目標區域的三因子值，並依舒適度目標計算改善分數。若房間偏熱，冷氣動作通常獲得較高排序；若照度不足，照明動作通常獲得較高排序。</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w:t>
            </w:r>
          </w:p>
        </w:tc>
      </w:tr>
    </w:tbl>
    <w:p>
      <w:pPr>
        <w:pStyle w:val="Heading2"/>
        <w:spacing w:before="0" w:after="0" w:line="360" w:lineRule="auto"/>
      </w:pPr>
      <w:r>
        <w:rPr>
          <w:b/>
        </w:rPr>
        <w:t xml:space="preserve">4.2 MCP Tools</w:t>
      </w:r>
    </w:p>
    <w:p>
      <w:pPr>
        <w:spacing w:before="0" w:after="0" w:line="360" w:lineRule="auto"/>
      </w:pPr>
      <w:r>
        <w:t xml:space="preserve">本地 MCP server 提供下列 tools：</w:t>
      </w:r>
    </w:p>
    <w:p>
      <w:pPr>
        <w:ind w:left="720" w:hanging="360" w:firstLine="0"/>
        <w:spacing w:before="0" w:after="0" w:line="360" w:lineRule="auto"/>
      </w:pPr>
      <w:r>
        <w:t xml:space="preserve">• list_scenarios：列出 8 組標準驗證情境。</w:t>
      </w:r>
    </w:p>
    <w:p>
      <w:pPr>
        <w:ind w:left="720" w:hanging="360" w:firstLine="0"/>
        <w:spacing w:before="0" w:after="0" w:line="360" w:lineRule="auto"/>
      </w:pPr>
      <w:r>
        <w:t xml:space="preserve">• list_window_scenarios：列出 48 組窗戶時段/天氣/季節情境。</w:t>
      </w:r>
    </w:p>
    <w:p>
      <w:pPr>
        <w:ind w:left="720" w:hanging="360" w:firstLine="0"/>
        <w:spacing w:before="0" w:after="0" w:line="360" w:lineRule="auto"/>
      </w:pPr>
      <w:r>
        <w:t xml:space="preserve">• run_scenario：執行情境並回傳重建誤差與目標區域估計。</w:t>
      </w:r>
    </w:p>
    <w:p>
      <w:pPr>
        <w:ind w:left="720" w:hanging="360" w:firstLine="0"/>
        <w:spacing w:before="0" w:after="0" w:line="360" w:lineRule="auto"/>
      </w:pPr>
      <w:r>
        <w:t xml:space="preserve">• rank_actions：依目標區域舒適度改善排序候選動作。</w:t>
      </w:r>
    </w:p>
    <w:p>
      <w:pPr>
        <w:ind w:left="720" w:hanging="360" w:firstLine="0"/>
        <w:spacing w:before="0" w:after="0" w:line="360" w:lineRule="auto"/>
      </w:pPr>
      <w:r>
        <w:t xml:space="preserve">• sample_point：估計指定座標的 temperature、humidity 與 illuminance。</w:t>
      </w:r>
    </w:p>
    <w:p>
      <w:pPr>
        <w:ind w:left="720" w:hanging="360" w:firstLine="0"/>
        <w:spacing w:before="0" w:after="0" w:line="360" w:lineRule="auto"/>
      </w:pPr>
      <w:r>
        <w:t xml:space="preserve">• compare_baseline：比較本研究模型與 IDW baseline。</w:t>
      </w:r>
    </w:p>
    <w:p>
      <w:pPr>
        <w:ind w:left="720" w:hanging="360" w:firstLine="0"/>
        <w:spacing w:before="0" w:after="0" w:line="360" w:lineRule="auto"/>
      </w:pPr>
      <w:r>
        <w:t xml:space="preserve">• learn_impacts：由前後感測資料學習非連網裝置影響。</w:t>
      </w:r>
    </w:p>
    <w:p>
      <w:pPr>
        <w:ind w:left="720" w:hanging="360" w:firstLine="0"/>
        <w:spacing w:before="0" w:after="0" w:line="360" w:lineRule="auto"/>
      </w:pPr>
      <w:r>
        <w:t xml:space="preserve">• run_window_matrix：執行全部 48 組窗戶矩陣模擬。</w:t>
      </w:r>
    </w:p>
    <w:p>
      <w:pPr>
        <w:ind w:left="720" w:hanging="360" w:firstLine="0"/>
        <w:spacing w:before="0" w:after="0" w:line="360" w:lineRule="auto"/>
      </w:pPr>
      <w:r>
        <w:t xml:space="preserve">• run_window_direct：直接輸入外部溫度、濕度、日照與開窗比例，執行窗戶影響模擬。</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 比較、非連網裝置影響學習與推薦排序。</w:t>
      </w:r>
    </w:p>
    <w:p>
      <w:pPr>
        <w:jc w:val="center"/>
        <w:spacing w:after="120" w:line="360" w:lineRule="auto"/>
      </w:pPr>
      <w:r>
        <w:drawing>
          <wp:inline distT="0" distB="0" distL="0" distR="0">
            <wp:extent cx="5303520" cy="5303520"/>
            <wp:docPr id="5" name="圖 5-1 驗證與實驗流程。此圖說明標準情境如何經由 truth adjustment、合成觀測、校正估測、baseline 比較與輸出摘要，形成第五章的實驗結果。"/>
            <wp:cNvGraphicFramePr>
              <a:graphicFrameLocks noChangeAspect="1"/>
            </wp:cNvGraphicFramePr>
            <a:graphic>
              <a:graphicData uri="http://schemas.openxmlformats.org/drawingml/2006/picture">
                <pic:pic>
                  <pic:nvPicPr>
                    <pic:cNvPr id="5" name="圖 5-1 驗證與實驗流程。此圖說明標準情境如何經由 truth adjustment、合成觀測、校正估測、baseline 比較與輸出摘要，形成第五章的實驗結果。"/>
                    <pic:cNvPicPr/>
                  </pic:nvPicPr>
                  <pic:blipFill>
                    <a:blip r:embed="rId5"/>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0.1764，平均照度 MAE 為 2.1288。照度 MAE 仍高於溫度與濕度，主要原因是照度場受燈具位置、窗戶日照、遮蔽與方向性影響較大，且數值尺度遠高於溫度與濕度。相較於前一版只使用 direct source + obstruction 的照度路徑，加入 single-bounce diffuse reflection 後，平均照度 MAE 由 2.1616 降至 2.1288，最大照度 MAE 亦由 2.7090 降至 2.6633。</w:t>
      </w:r>
    </w:p>
    <w:p>
      <w:pPr>
        <w:spacing w:before="0" w:after="0" w:line="360" w:lineRule="auto"/>
      </w:pPr>
      <w:r>
        <w:t xml:space="preserve">這表示新增的反射公式確實補足了牆面、地板、天花板與家具造成的間接回填亮度，使非直射區域不再被系統性低估。另一方面，溫度與濕度指標幾乎沒有變化，也說明這組公式主要作用在預期的 illuminance 路徑，而沒有不必要地擾動其他兩個環境因素。</w:t>
      </w:r>
    </w:p>
    <w:p>
      <w:pPr>
        <w:pStyle w:val="Heading2"/>
        <w:spacing w:before="0" w:after="0" w:line="360" w:lineRule="auto"/>
      </w:pPr>
      <w:r>
        <w:rPr>
          <w:b/>
        </w:rPr>
        <w:t xml:space="preserve">5.3 IDW Baseline 比較</w:t>
      </w:r>
    </w:p>
    <w:p>
      <w:pPr>
        <w:spacing w:before="0" w:after="0" w:line="360" w:lineRule="auto"/>
      </w:pPr>
      <w:r>
        <w:t xml:space="preserve">以 light_only 情境為例，本研究模型在照度 MAE 上相較 IDW baseline 降低約 97.95%。這表示只依靠角落感測器插值難以重建中央燈具造成的局部照度提升，而加入設備位置、直接照度項、single-bounce diffuse reflection、power scale 校準與 trilinear residual correction 後，可更有效描述設備作用與間接亮度回填。</w:t>
      </w:r>
    </w:p>
    <w:p>
      <w:pPr>
        <w:pStyle w:val="Heading2"/>
        <w:spacing w:before="0" w:after="0" w:line="360" w:lineRule="auto"/>
      </w:pPr>
      <w:r>
        <w:rPr>
          <w:b/>
        </w:rPr>
        <w:t xml:space="preserve">5.4 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5.5 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243.7090</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68.9740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93.2172</w:t>
            </w:r>
          </w:p>
        </w:tc>
      </w:tr>
    </w:tbl>
    <w:p>
      <w:pPr>
        <w:pStyle w:val="Heading2"/>
        <w:spacing w:before="0" w:after="0" w:line="360" w:lineRule="auto"/>
      </w:pPr>
      <w:r>
        <w:rPr>
          <w:b/>
        </w:rPr>
        <w:t xml:space="preserve">5.6 Hybrid Residual Neural Network 結果</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組全集平均為不同子集）。若對 temperature 與 humidity residual trace 啟用 Fourier low-pass denoising，並保留 illuminance 原始 residual，則 hybrid residual correction 套用於主模型輸出後，field MAE 可由 temperature 0.0474、humidity 0.1764、illuminance 2.3295，分別降至 0.0026、0.0040 與 0.1752。對應改善比例約為溫度 94.51%、濕度 97.73% 與照度 92.48%。</w:t>
      </w:r>
    </w:p>
    <w:p>
      <w:pPr>
        <w:spacing w:before="0" w:after="0" w:line="360" w:lineRule="auto"/>
      </w:pPr>
      <w:r>
        <w:t xml:space="preserve">若與加入反射近似前的 direct-only 照度路徑相比，held-out illuminance 的主模型 MAE 由 2.3727 降至 2.3295，而 hybrid 後的 illuminance MAE 由 0.2357 進一步降至 0.1752。這表示較乾淨的 base optical approximation 可先降低結構性照度偏差，再讓 residual network 更集中地學習剩餘誤差；而頻域低通則較適合作為慢變 thermal / humidity residual 的前處理，而非對所有環境因子一體適用。不過此結果仍建立於模擬資料與既定情境分割下，未來仍需以真實量測資料重新訓練與驗證。</w:t>
      </w:r>
    </w:p>
    <w:p>
      <w:pPr>
        <w:pStyle w:val="Heading2"/>
        <w:spacing w:before="0" w:after="0" w:line="360" w:lineRule="auto"/>
      </w:pPr>
      <w:r>
        <w:rPr>
          <w:b/>
        </w:rPr>
        <w:t xml:space="preserve">5.7 公開資料集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表 5-4 列出 SML2010 benchmark 各任務三項指標的完整對比。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3.418</w:t>
            </w:r>
          </w:p>
        </w:tc>
        <w:tc>
          <w:tcPr>
            <w:tcW w:w="2200" w:type="dxa"/>
          </w:tcPr>
          <w:p>
            <w:pPr>
              <w:spacing w:before="0" w:after="0" w:line="360" w:lineRule="auto"/>
            </w:pPr>
            <w:r>
              <w:t xml:space="preserve">4.023</w:t>
            </w:r>
          </w:p>
        </w:tc>
        <w:tc>
          <w:tcPr>
            <w:tcW w:w="2200" w:type="dxa"/>
          </w:tcPr>
          <w:p>
            <w:pPr>
              <w:spacing w:before="0" w:after="0" w:line="360" w:lineRule="auto"/>
            </w:pPr>
            <w:r>
              <w:t xml:space="preserve">5.346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8.074</w:t>
            </w:r>
          </w:p>
        </w:tc>
        <w:tc>
          <w:tcPr>
            <w:tcW w:w="2200" w:type="dxa"/>
          </w:tcPr>
          <w:p>
            <w:pPr>
              <w:spacing w:before="0" w:after="0" w:line="360" w:lineRule="auto"/>
            </w:pPr>
            <w:r>
              <w:t xml:space="preserve">8.194</w:t>
            </w:r>
          </w:p>
        </w:tc>
        <w:tc>
          <w:tcPr>
            <w:tcW w:w="2200" w:type="dxa"/>
          </w:tcPr>
          <w:p>
            <w:pPr>
              <w:spacing w:before="0" w:after="0" w:line="360" w:lineRule="auto"/>
            </w:pPr>
            <w:r>
              <w:t xml:space="preserve">9.986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0.963</w:t>
            </w:r>
          </w:p>
        </w:tc>
        <w:tc>
          <w:tcPr>
            <w:tcW w:w="2200" w:type="dxa"/>
          </w:tcPr>
          <w:p>
            <w:pPr>
              <w:spacing w:before="0" w:after="0" w:line="360" w:lineRule="auto"/>
            </w:pPr>
            <w:r>
              <w:t xml:space="preserve">0.966</w:t>
            </w:r>
          </w:p>
        </w:tc>
        <w:tc>
          <w:tcPr>
            <w:tcW w:w="2200" w:type="dxa"/>
          </w:tcPr>
          <w:p>
            <w:pPr>
              <w:spacing w:before="0" w:after="0" w:line="360" w:lineRule="auto"/>
            </w:pPr>
            <w:r>
              <w:t xml:space="preserve">0.957</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0.118</w:t>
            </w:r>
          </w:p>
        </w:tc>
        <w:tc>
          <w:tcPr>
            <w:tcW w:w="2200" w:type="dxa"/>
          </w:tcPr>
          <w:p>
            <w:pPr>
              <w:spacing w:before="0" w:after="0" w:line="360" w:lineRule="auto"/>
            </w:pPr>
            <w:r>
              <w:t xml:space="preserve">0.043</w:t>
            </w:r>
          </w:p>
        </w:tc>
        <w:tc>
          <w:tcPr>
            <w:tcW w:w="2200" w:type="dxa"/>
          </w:tcPr>
          <w:p>
            <w:pPr>
              <w:spacing w:before="0" w:after="0" w:line="360" w:lineRule="auto"/>
            </w:pPr>
            <w:r>
              <w:t xml:space="preserve">0.073</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0.135</w:t>
            </w:r>
          </w:p>
        </w:tc>
        <w:tc>
          <w:tcPr>
            <w:tcW w:w="2200" w:type="dxa"/>
          </w:tcPr>
          <w:p>
            <w:pPr>
              <w:spacing w:before="0" w:after="0" w:line="360" w:lineRule="auto"/>
            </w:pPr>
            <w:r>
              <w:t xml:space="preserve">0.056</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0.999</w:t>
            </w:r>
          </w:p>
        </w:tc>
        <w:tc>
          <w:tcPr>
            <w:tcW w:w="2200" w:type="dxa"/>
          </w:tcPr>
          <w:p>
            <w:pPr>
              <w:spacing w:before="0" w:after="0" w:line="360" w:lineRule="auto"/>
            </w:pPr>
            <w:r>
              <w:t xml:space="preserve">1.000</w:t>
            </w:r>
          </w:p>
        </w:tc>
        <w:tc>
          <w:tcPr>
            <w:tcW w:w="2200" w:type="dxa"/>
          </w:tcPr>
          <w:p>
            <w:pPr>
              <w:spacing w:before="0" w:after="0" w:line="360" w:lineRule="auto"/>
            </w:pPr>
            <w:r>
              <w:t xml:space="preserve">0.999</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0.198</w:t>
            </w:r>
          </w:p>
        </w:tc>
        <w:tc>
          <w:tcPr>
            <w:tcW w:w="2200" w:type="dxa"/>
          </w:tcPr>
          <w:p>
            <w:pPr>
              <w:spacing w:before="0" w:after="0" w:line="360" w:lineRule="auto"/>
            </w:pPr>
            <w:r>
              <w:t xml:space="preserve">0.209</w:t>
            </w:r>
          </w:p>
        </w:tc>
        <w:tc>
          <w:tcPr>
            <w:tcW w:w="2200" w:type="dxa"/>
          </w:tcPr>
          <w:p>
            <w:pPr>
              <w:spacing w:before="0" w:after="0" w:line="360" w:lineRule="auto"/>
            </w:pPr>
            <w:r>
              <w:t xml:space="preserve">0.832</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0.304</w:t>
            </w:r>
          </w:p>
        </w:tc>
        <w:tc>
          <w:tcPr>
            <w:tcW w:w="2200" w:type="dxa"/>
          </w:tcPr>
          <w:p>
            <w:pPr>
              <w:spacing w:before="0" w:after="0" w:line="360" w:lineRule="auto"/>
            </w:pPr>
            <w:r>
              <w:t xml:space="preserve">0.316</w:t>
            </w:r>
          </w:p>
        </w:tc>
        <w:tc>
          <w:tcPr>
            <w:tcW w:w="2200" w:type="dxa"/>
          </w:tcPr>
          <w:p>
            <w:pPr>
              <w:spacing w:before="0" w:after="0" w:line="360" w:lineRule="auto"/>
            </w:pPr>
            <w:r>
              <w:t xml:space="preserve">1.026</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0.998</w:t>
            </w:r>
          </w:p>
        </w:tc>
        <w:tc>
          <w:tcPr>
            <w:tcW w:w="2200" w:type="dxa"/>
          </w:tcPr>
          <w:p>
            <w:pPr>
              <w:spacing w:before="0" w:after="0" w:line="360" w:lineRule="auto"/>
            </w:pPr>
            <w:r>
              <w:t xml:space="preserve">0.998</w:t>
            </w:r>
          </w:p>
        </w:tc>
        <w:tc>
          <w:tcPr>
            <w:tcW w:w="2200" w:type="dxa"/>
          </w:tcPr>
          <w:p>
            <w:pPr>
              <w:spacing w:before="0" w:after="0" w:line="360" w:lineRule="auto"/>
            </w:pPr>
            <w:r>
              <w:t xml:space="preserve">0.988</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0.233</w:t>
            </w:r>
          </w:p>
        </w:tc>
        <w:tc>
          <w:tcPr>
            <w:tcW w:w="2200" w:type="dxa"/>
          </w:tcPr>
          <w:p>
            <w:pPr>
              <w:spacing w:before="0" w:after="0" w:line="360" w:lineRule="auto"/>
            </w:pPr>
            <w:r>
              <w:t xml:space="preserve">0.093</w:t>
            </w:r>
          </w:p>
        </w:tc>
        <w:tc>
          <w:tcPr>
            <w:tcW w:w="2200" w:type="dxa"/>
          </w:tcPr>
          <w:p>
            <w:pPr>
              <w:spacing w:before="0" w:after="0" w:line="360" w:lineRule="auto"/>
            </w:pPr>
            <w:r>
              <w:t xml:space="preserve">0.071</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0.283</w:t>
            </w:r>
          </w:p>
        </w:tc>
        <w:tc>
          <w:tcPr>
            <w:tcW w:w="2200" w:type="dxa"/>
          </w:tcPr>
          <w:p>
            <w:pPr>
              <w:spacing w:before="0" w:after="0" w:line="360" w:lineRule="auto"/>
            </w:pPr>
            <w:r>
              <w:t xml:space="preserve">0.115</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0.909</w:t>
            </w:r>
          </w:p>
        </w:tc>
        <w:tc>
          <w:tcPr>
            <w:tcW w:w="2200" w:type="dxa"/>
          </w:tcPr>
          <w:p>
            <w:pPr>
              <w:spacing w:before="0" w:after="0" w:line="360" w:lineRule="auto"/>
            </w:pPr>
            <w:r>
              <w:t xml:space="preserve">0.950</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0.386</w:t>
            </w:r>
          </w:p>
        </w:tc>
        <w:tc>
          <w:tcPr>
            <w:tcW w:w="2200" w:type="dxa"/>
          </w:tcPr>
          <w:p>
            <w:pPr>
              <w:spacing w:before="0" w:after="0" w:line="360" w:lineRule="auto"/>
            </w:pPr>
            <w:r>
              <w:t xml:space="preserve">0.393</w:t>
            </w:r>
          </w:p>
        </w:tc>
        <w:tc>
          <w:tcPr>
            <w:tcW w:w="2200" w:type="dxa"/>
          </w:tcPr>
          <w:p>
            <w:pPr>
              <w:spacing w:before="0" w:after="0" w:line="360" w:lineRule="auto"/>
            </w:pPr>
            <w:r>
              <w:t xml:space="preserve">0.335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0.595</w:t>
            </w:r>
          </w:p>
        </w:tc>
        <w:tc>
          <w:tcPr>
            <w:tcW w:w="2200" w:type="dxa"/>
          </w:tcPr>
          <w:p>
            <w:pPr>
              <w:spacing w:before="0" w:after="0" w:line="360" w:lineRule="auto"/>
            </w:pPr>
            <w:r>
              <w:t xml:space="preserve">0.574</w:t>
            </w:r>
          </w:p>
        </w:tc>
        <w:tc>
          <w:tcPr>
            <w:tcW w:w="2200" w:type="dxa"/>
          </w:tcPr>
          <w:p>
            <w:pPr>
              <w:spacing w:before="0" w:after="0" w:line="360" w:lineRule="auto"/>
            </w:pPr>
            <w:r>
              <w:t xml:space="preserve">0.475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0.337</w:t>
            </w:r>
          </w:p>
        </w:tc>
        <w:tc>
          <w:tcPr>
            <w:tcW w:w="2200" w:type="dxa"/>
          </w:tcPr>
          <w:p>
            <w:pPr>
              <w:spacing w:before="0" w:after="0" w:line="360" w:lineRule="auto"/>
            </w:pPr>
            <w:r>
              <w:t xml:space="preserve">0.612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8.473</w:t>
            </w:r>
          </w:p>
        </w:tc>
        <w:tc>
          <w:tcPr>
            <w:tcW w:w="2200" w:type="dxa"/>
          </w:tcPr>
          <w:p>
            <w:pPr>
              <w:spacing w:before="0" w:after="0" w:line="360" w:lineRule="auto"/>
            </w:pPr>
            <w:r>
              <w:t xml:space="preserve">9.813</w:t>
            </w:r>
          </w:p>
        </w:tc>
        <w:tc>
          <w:tcPr>
            <w:tcW w:w="2200" w:type="dxa"/>
          </w:tcPr>
          <w:p>
            <w:pPr>
              <w:spacing w:before="0" w:after="0" w:line="360" w:lineRule="auto"/>
            </w:pPr>
            <w:r>
              <w:t xml:space="preserve">9.437</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14.449</w:t>
            </w:r>
          </w:p>
        </w:tc>
        <w:tc>
          <w:tcPr>
            <w:tcW w:w="2200" w:type="dxa"/>
          </w:tcPr>
          <w:p>
            <w:pPr>
              <w:spacing w:before="0" w:after="0" w:line="360" w:lineRule="auto"/>
            </w:pPr>
            <w:r>
              <w:t xml:space="preserve">13.623</w:t>
            </w:r>
          </w:p>
        </w:tc>
        <w:tc>
          <w:tcPr>
            <w:tcW w:w="2200" w:type="dxa"/>
          </w:tcPr>
          <w:p>
            <w:pPr>
              <w:spacing w:before="0" w:after="0" w:line="360" w:lineRule="auto"/>
            </w:pPr>
            <w:r>
              <w:t xml:space="preserve">13.552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0.526</w:t>
            </w:r>
          </w:p>
        </w:tc>
        <w:tc>
          <w:tcPr>
            <w:tcW w:w="2200" w:type="dxa"/>
          </w:tcPr>
          <w:p>
            <w:pPr>
              <w:spacing w:before="0" w:after="0" w:line="360" w:lineRule="auto"/>
            </w:pPr>
            <w:r>
              <w:t xml:space="preserve">0.366</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0.563</w:t>
            </w:r>
          </w:p>
        </w:tc>
        <w:tc>
          <w:tcPr>
            <w:tcW w:w="2200" w:type="dxa"/>
          </w:tcPr>
          <w:p>
            <w:pPr>
              <w:spacing w:before="0" w:after="0" w:line="360" w:lineRule="auto"/>
            </w:pPr>
            <w:r>
              <w:t xml:space="preserve">0.212</w:t>
            </w:r>
          </w:p>
        </w:tc>
        <w:tc>
          <w:tcPr>
            <w:tcW w:w="2200" w:type="dxa"/>
          </w:tcPr>
          <w:p>
            <w:pPr>
              <w:spacing w:before="0" w:after="0" w:line="360" w:lineRule="auto"/>
            </w:pPr>
            <w:r>
              <w:t xml:space="preserve">0.190</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0.693</w:t>
            </w:r>
          </w:p>
        </w:tc>
        <w:tc>
          <w:tcPr>
            <w:tcW w:w="2200" w:type="dxa"/>
          </w:tcPr>
          <w:p>
            <w:pPr>
              <w:spacing w:before="0" w:after="0" w:line="360" w:lineRule="auto"/>
            </w:pPr>
            <w:r>
              <w:t xml:space="preserve">0.256</w:t>
            </w:r>
          </w:p>
        </w:tc>
        <w:tc>
          <w:tcPr>
            <w:tcW w:w="2200" w:type="dxa"/>
          </w:tcPr>
          <w:p>
            <w:pPr>
              <w:spacing w:before="0" w:after="0" w:line="360" w:lineRule="auto"/>
            </w:pPr>
            <w:r>
              <w:t xml:space="preserve">0.243</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0.906</w:t>
            </w:r>
          </w:p>
        </w:tc>
        <w:tc>
          <w:tcPr>
            <w:tcW w:w="2200" w:type="dxa"/>
          </w:tcPr>
          <w:p>
            <w:pPr>
              <w:spacing w:before="0" w:after="0" w:line="360" w:lineRule="auto"/>
            </w:pPr>
            <w:r>
              <w:t xml:space="preserve">0.937</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0.889</w:t>
            </w:r>
          </w:p>
        </w:tc>
        <w:tc>
          <w:tcPr>
            <w:tcW w:w="2200" w:type="dxa"/>
          </w:tcPr>
          <w:p>
            <w:pPr>
              <w:spacing w:before="0" w:after="0" w:line="360" w:lineRule="auto"/>
            </w:pPr>
            <w:r>
              <w:t xml:space="preserve">0.809</w:t>
            </w:r>
          </w:p>
        </w:tc>
        <w:tc>
          <w:tcPr>
            <w:tcW w:w="2200" w:type="dxa"/>
          </w:tcPr>
          <w:p>
            <w:pPr>
              <w:spacing w:before="0" w:after="0" w:line="360" w:lineRule="auto"/>
            </w:pPr>
            <w:r>
              <w:t xml:space="preserve">0.759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1.281</w:t>
            </w:r>
          </w:p>
        </w:tc>
        <w:tc>
          <w:tcPr>
            <w:tcW w:w="2200" w:type="dxa"/>
          </w:tcPr>
          <w:p>
            <w:pPr>
              <w:spacing w:before="0" w:after="0" w:line="360" w:lineRule="auto"/>
            </w:pPr>
            <w:r>
              <w:t xml:space="preserve">1.155</w:t>
            </w:r>
          </w:p>
        </w:tc>
        <w:tc>
          <w:tcPr>
            <w:tcW w:w="2200" w:type="dxa"/>
          </w:tcPr>
          <w:p>
            <w:pPr>
              <w:spacing w:before="0" w:after="0" w:line="360" w:lineRule="auto"/>
            </w:pPr>
            <w:r>
              <w:t xml:space="preserve">1.059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0.434</w:t>
            </w:r>
          </w:p>
        </w:tc>
        <w:tc>
          <w:tcPr>
            <w:tcW w:w="2200" w:type="dxa"/>
          </w:tcPr>
          <w:p>
            <w:pPr>
              <w:spacing w:before="0" w:after="0" w:line="360" w:lineRule="auto"/>
            </w:pPr>
            <w:r>
              <w:t xml:space="preserve">0.569</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15.209</w:t>
            </w:r>
          </w:p>
        </w:tc>
        <w:tc>
          <w:tcPr>
            <w:tcW w:w="2200" w:type="dxa"/>
          </w:tcPr>
          <w:p>
            <w:pPr>
              <w:spacing w:before="0" w:after="0" w:line="360" w:lineRule="auto"/>
            </w:pPr>
            <w:r>
              <w:t xml:space="preserve">17.170</w:t>
            </w:r>
          </w:p>
        </w:tc>
        <w:tc>
          <w:tcPr>
            <w:tcW w:w="2200" w:type="dxa"/>
          </w:tcPr>
          <w:p>
            <w:pPr>
              <w:spacing w:before="0" w:after="0" w:line="360" w:lineRule="auto"/>
            </w:pPr>
            <w:r>
              <w:t xml:space="preserve">14.460</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21.931</w:t>
            </w:r>
          </w:p>
        </w:tc>
        <w:tc>
          <w:tcPr>
            <w:tcW w:w="2200" w:type="dxa"/>
          </w:tcPr>
          <w:p>
            <w:pPr>
              <w:spacing w:before="0" w:after="0" w:line="360" w:lineRule="auto"/>
            </w:pPr>
            <w:r>
              <w:t xml:space="preserve">22.763</w:t>
            </w:r>
          </w:p>
        </w:tc>
        <w:tc>
          <w:tcPr>
            <w:tcW w:w="2200" w:type="dxa"/>
          </w:tcPr>
          <w:p>
            <w:pPr>
              <w:spacing w:before="0" w:after="0" w:line="360" w:lineRule="auto"/>
            </w:pPr>
            <w:r>
              <w:t xml:space="preserve">19.344</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0.715</w:t>
            </w:r>
          </w:p>
        </w:tc>
        <w:tc>
          <w:tcPr>
            <w:tcW w:w="2200" w:type="dxa"/>
          </w:tcPr>
          <w:p>
            <w:pPr>
              <w:spacing w:before="0" w:after="0" w:line="360" w:lineRule="auto"/>
            </w:pPr>
            <w:r>
              <w:t xml:space="preserve">0.472</w:t>
            </w:r>
          </w:p>
        </w:tc>
      </w:tr>
    </w:tbl>
    <w:p>
      <w:pPr>
        <w:spacing w:before="0" w:after="0" w:line="360" w:lineRule="auto"/>
      </w:pPr>
      <w:r>
        <w:t xml:space="preserve">表 5-5 列出 CU-BEMS benchmark 各任務三項指標的完整對比。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0.262</w:t>
            </w:r>
          </w:p>
        </w:tc>
        <w:tc>
          <w:tcPr>
            <w:tcW w:w="2200" w:type="dxa"/>
          </w:tcPr>
          <w:p>
            <w:pPr>
              <w:spacing w:before="0" w:after="0" w:line="360" w:lineRule="auto"/>
            </w:pPr>
            <w:r>
              <w:t xml:space="preserve">0.288</w:t>
            </w:r>
          </w:p>
        </w:tc>
        <w:tc>
          <w:tcPr>
            <w:tcW w:w="2200" w:type="dxa"/>
          </w:tcPr>
          <w:p>
            <w:pPr>
              <w:spacing w:before="0" w:after="0" w:line="360" w:lineRule="auto"/>
            </w:pPr>
            <w:r>
              <w:t xml:space="preserve">0.282</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0.574</w:t>
            </w:r>
          </w:p>
        </w:tc>
        <w:tc>
          <w:tcPr>
            <w:tcW w:w="2200" w:type="dxa"/>
          </w:tcPr>
          <w:p>
            <w:pPr>
              <w:spacing w:before="0" w:after="0" w:line="360" w:lineRule="auto"/>
            </w:pPr>
            <w:r>
              <w:t xml:space="preserve">0.534</w:t>
            </w:r>
          </w:p>
        </w:tc>
        <w:tc>
          <w:tcPr>
            <w:tcW w:w="2200" w:type="dxa"/>
          </w:tcPr>
          <w:p>
            <w:pPr>
              <w:spacing w:before="0" w:after="0" w:line="360" w:lineRule="auto"/>
            </w:pPr>
            <w:r>
              <w:t xml:space="preserve">0.530</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0.980</w:t>
            </w:r>
          </w:p>
        </w:tc>
        <w:tc>
          <w:tcPr>
            <w:tcW w:w="2200" w:type="dxa"/>
          </w:tcPr>
          <w:p>
            <w:pPr>
              <w:spacing w:before="0" w:after="0" w:line="360" w:lineRule="auto"/>
            </w:pPr>
            <w:r>
              <w:t xml:space="preserve">0.983</w:t>
            </w:r>
          </w:p>
        </w:tc>
        <w:tc>
          <w:tcPr>
            <w:tcW w:w="2200" w:type="dxa"/>
          </w:tcPr>
          <w:p>
            <w:pPr>
              <w:spacing w:before="0" w:after="0" w:line="360" w:lineRule="auto"/>
            </w:pPr>
            <w:r>
              <w:t xml:space="preserve">0.983</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0.713</w:t>
            </w:r>
          </w:p>
        </w:tc>
        <w:tc>
          <w:tcPr>
            <w:tcW w:w="2200" w:type="dxa"/>
          </w:tcPr>
          <w:p>
            <w:pPr>
              <w:spacing w:before="0" w:after="0" w:line="360" w:lineRule="auto"/>
            </w:pPr>
            <w:r>
              <w:t xml:space="preserve">0.778</w:t>
            </w:r>
          </w:p>
        </w:tc>
        <w:tc>
          <w:tcPr>
            <w:tcW w:w="2200" w:type="dxa"/>
          </w:tcPr>
          <w:p>
            <w:pPr>
              <w:spacing w:before="0" w:after="0" w:line="360" w:lineRule="auto"/>
            </w:pPr>
            <w:r>
              <w:t xml:space="preserve">0.756</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1.468</w:t>
            </w:r>
          </w:p>
        </w:tc>
        <w:tc>
          <w:tcPr>
            <w:tcW w:w="2200" w:type="dxa"/>
          </w:tcPr>
          <w:p>
            <w:pPr>
              <w:spacing w:before="0" w:after="0" w:line="360" w:lineRule="auto"/>
            </w:pPr>
            <w:r>
              <w:t xml:space="preserve">1.452</w:t>
            </w:r>
          </w:p>
        </w:tc>
        <w:tc>
          <w:tcPr>
            <w:tcW w:w="2200" w:type="dxa"/>
          </w:tcPr>
          <w:p>
            <w:pPr>
              <w:spacing w:before="0" w:after="0" w:line="360" w:lineRule="auto"/>
            </w:pPr>
            <w:r>
              <w:t xml:space="preserve">1.457</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0.978</w:t>
            </w:r>
          </w:p>
        </w:tc>
        <w:tc>
          <w:tcPr>
            <w:tcW w:w="2200" w:type="dxa"/>
          </w:tcPr>
          <w:p>
            <w:pPr>
              <w:spacing w:before="0" w:after="0" w:line="360" w:lineRule="auto"/>
            </w:pPr>
            <w:r>
              <w:t xml:space="preserve">0.979</w:t>
            </w:r>
          </w:p>
        </w:tc>
        <w:tc>
          <w:tcPr>
            <w:tcW w:w="2200" w:type="dxa"/>
          </w:tcPr>
          <w:p>
            <w:pPr>
              <w:spacing w:before="0" w:after="0" w:line="360" w:lineRule="auto"/>
            </w:pPr>
            <w:r>
              <w:t xml:space="preserve">0.979</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1.363</w:t>
            </w:r>
          </w:p>
        </w:tc>
        <w:tc>
          <w:tcPr>
            <w:tcW w:w="2200" w:type="dxa"/>
          </w:tcPr>
          <w:p>
            <w:pPr>
              <w:spacing w:before="0" w:after="0" w:line="360" w:lineRule="auto"/>
            </w:pPr>
            <w:r>
              <w:t xml:space="preserve">1.794</w:t>
            </w:r>
          </w:p>
        </w:tc>
        <w:tc>
          <w:tcPr>
            <w:tcW w:w="2200" w:type="dxa"/>
          </w:tcPr>
          <w:p>
            <w:pPr>
              <w:spacing w:before="0" w:after="0" w:line="360" w:lineRule="auto"/>
            </w:pPr>
            <w:r>
              <w:t xml:space="preserve">7.700</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6.344</w:t>
            </w:r>
          </w:p>
        </w:tc>
        <w:tc>
          <w:tcPr>
            <w:tcW w:w="2200" w:type="dxa"/>
          </w:tcPr>
          <w:p>
            <w:pPr>
              <w:spacing w:before="0" w:after="0" w:line="360" w:lineRule="auto"/>
            </w:pPr>
            <w:r>
              <w:t xml:space="preserve">6.264</w:t>
            </w:r>
          </w:p>
        </w:tc>
        <w:tc>
          <w:tcPr>
            <w:tcW w:w="2200" w:type="dxa"/>
          </w:tcPr>
          <w:p>
            <w:pPr>
              <w:spacing w:before="0" w:after="0" w:line="360" w:lineRule="auto"/>
            </w:pPr>
            <w:r>
              <w:t xml:space="preserve">11.938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0.962</w:t>
            </w:r>
          </w:p>
        </w:tc>
        <w:tc>
          <w:tcPr>
            <w:tcW w:w="2200" w:type="dxa"/>
          </w:tcPr>
          <w:p>
            <w:pPr>
              <w:spacing w:before="0" w:after="0" w:line="360" w:lineRule="auto"/>
            </w:pPr>
            <w:r>
              <w:t xml:space="preserve">0.963</w:t>
            </w:r>
          </w:p>
        </w:tc>
        <w:tc>
          <w:tcPr>
            <w:tcW w:w="2200" w:type="dxa"/>
          </w:tcPr>
          <w:p>
            <w:pPr>
              <w:spacing w:before="0" w:after="0" w:line="360" w:lineRule="auto"/>
            </w:pPr>
            <w:r>
              <w:t xml:space="preserve">0.864</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0.571</w:t>
            </w:r>
          </w:p>
        </w:tc>
        <w:tc>
          <w:tcPr>
            <w:tcW w:w="2200" w:type="dxa"/>
          </w:tcPr>
          <w:p>
            <w:pPr>
              <w:spacing w:before="0" w:after="0" w:line="360" w:lineRule="auto"/>
            </w:pPr>
            <w:r>
              <w:t xml:space="preserve">0.692</w:t>
            </w:r>
          </w:p>
        </w:tc>
        <w:tc>
          <w:tcPr>
            <w:tcW w:w="2200" w:type="dxa"/>
          </w:tcPr>
          <w:p>
            <w:pPr>
              <w:spacing w:before="0" w:after="0" w:line="360" w:lineRule="auto"/>
            </w:pPr>
            <w:r>
              <w:t xml:space="preserve">0.626</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1.301</w:t>
            </w:r>
          </w:p>
        </w:tc>
        <w:tc>
          <w:tcPr>
            <w:tcW w:w="2200" w:type="dxa"/>
          </w:tcPr>
          <w:p>
            <w:pPr>
              <w:spacing w:before="0" w:after="0" w:line="360" w:lineRule="auto"/>
            </w:pPr>
            <w:r>
              <w:t xml:space="preserve">1.124</w:t>
            </w:r>
          </w:p>
        </w:tc>
        <w:tc>
          <w:tcPr>
            <w:tcW w:w="2200" w:type="dxa"/>
          </w:tcPr>
          <w:p>
            <w:pPr>
              <w:spacing w:before="0" w:after="0" w:line="360" w:lineRule="auto"/>
            </w:pPr>
            <w:r>
              <w:t xml:space="preserve">1.153</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0.503</w:t>
            </w:r>
          </w:p>
        </w:tc>
        <w:tc>
          <w:tcPr>
            <w:tcW w:w="2200" w:type="dxa"/>
          </w:tcPr>
          <w:p>
            <w:pPr>
              <w:spacing w:before="0" w:after="0" w:line="360" w:lineRule="auto"/>
            </w:pPr>
            <w:r>
              <w:t xml:space="preserve">0.479</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4.509</w:t>
            </w:r>
          </w:p>
        </w:tc>
        <w:tc>
          <w:tcPr>
            <w:tcW w:w="2200" w:type="dxa"/>
          </w:tcPr>
          <w:p>
            <w:pPr>
              <w:spacing w:before="0" w:after="0" w:line="360" w:lineRule="auto"/>
            </w:pPr>
            <w:r>
              <w:t xml:space="preserve">7.093</w:t>
            </w:r>
          </w:p>
        </w:tc>
        <w:tc>
          <w:tcPr>
            <w:tcW w:w="2200" w:type="dxa"/>
          </w:tcPr>
          <w:p>
            <w:pPr>
              <w:spacing w:before="0" w:after="0" w:line="360" w:lineRule="auto"/>
            </w:pPr>
            <w:r>
              <w:t xml:space="preserve">5.728</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12.507</w:t>
            </w:r>
          </w:p>
        </w:tc>
        <w:tc>
          <w:tcPr>
            <w:tcW w:w="2200" w:type="dxa"/>
          </w:tcPr>
          <w:p>
            <w:pPr>
              <w:spacing w:before="0" w:after="0" w:line="360" w:lineRule="auto"/>
            </w:pPr>
            <w:r>
              <w:t xml:space="preserve">12.162</w:t>
            </w:r>
          </w:p>
        </w:tc>
        <w:tc>
          <w:tcPr>
            <w:tcW w:w="2200" w:type="dxa"/>
          </w:tcPr>
          <w:p>
            <w:pPr>
              <w:spacing w:before="0" w:after="0" w:line="360" w:lineRule="auto"/>
            </w:pPr>
            <w:r>
              <w:t xml:space="preserve">12.105</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0.263</w:t>
            </w:r>
          </w:p>
        </w:tc>
        <w:tc>
          <w:tcPr>
            <w:tcW w:w="2200" w:type="dxa"/>
          </w:tcPr>
          <w:p>
            <w:pPr>
              <w:spacing w:before="0" w:after="0" w:line="360" w:lineRule="auto"/>
            </w:pPr>
            <w:r>
              <w:t xml:space="preserve">0.228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4.012</w:t>
            </w:r>
          </w:p>
        </w:tc>
        <w:tc>
          <w:tcPr>
            <w:tcW w:w="2200" w:type="dxa"/>
          </w:tcPr>
          <w:p>
            <w:pPr>
              <w:spacing w:before="0" w:after="0" w:line="360" w:lineRule="auto"/>
            </w:pPr>
            <w:r>
              <w:t xml:space="preserve">5.646</w:t>
            </w:r>
          </w:p>
        </w:tc>
        <w:tc>
          <w:tcPr>
            <w:tcW w:w="2200" w:type="dxa"/>
          </w:tcPr>
          <w:p>
            <w:pPr>
              <w:spacing w:before="0" w:after="0" w:line="360" w:lineRule="auto"/>
            </w:pPr>
            <w:r>
              <w:t xml:space="preserve">9.566</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12.065</w:t>
            </w:r>
          </w:p>
        </w:tc>
        <w:tc>
          <w:tcPr>
            <w:tcW w:w="2200" w:type="dxa"/>
          </w:tcPr>
          <w:p>
            <w:pPr>
              <w:spacing w:before="0" w:after="0" w:line="360" w:lineRule="auto"/>
            </w:pPr>
            <w:r>
              <w:t xml:space="preserve">11.575</w:t>
            </w:r>
          </w:p>
        </w:tc>
        <w:tc>
          <w:tcPr>
            <w:tcW w:w="2200" w:type="dxa"/>
          </w:tcPr>
          <w:p>
            <w:pPr>
              <w:spacing w:before="0" w:after="0" w:line="360" w:lineRule="auto"/>
            </w:pPr>
            <w:r>
              <w:t xml:space="preserve">14.234</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0.864</w:t>
            </w:r>
          </w:p>
        </w:tc>
        <w:tc>
          <w:tcPr>
            <w:tcW w:w="2200" w:type="dxa"/>
          </w:tcPr>
          <w:p>
            <w:pPr>
              <w:spacing w:before="0" w:after="0" w:line="360" w:lineRule="auto"/>
            </w:pPr>
            <w:r>
              <w:t xml:space="preserve">0.866</w:t>
            </w:r>
          </w:p>
        </w:tc>
        <w:tc>
          <w:tcPr>
            <w:tcW w:w="2200" w:type="dxa"/>
          </w:tcPr>
          <w:p>
            <w:pPr>
              <w:spacing w:before="0" w:after="0" w:line="360" w:lineRule="auto"/>
            </w:pPr>
            <w:r>
              <w:t xml:space="preserve">0.792</w:t>
            </w:r>
          </w:p>
        </w:tc>
      </w:tr>
    </w:tbl>
    <w:p>
      <w:pPr>
        <w:pStyle w:val="Heading3"/>
        <w:spacing w:before="0" w:after="0" w:line="360" w:lineRule="auto"/>
      </w:pPr>
      <w:r>
        <w:rPr>
          <w:b/>
        </w:rPr>
        <w:t xml:space="preserve">5.7.1 優勢分析</w:t>
      </w:r>
    </w:p>
    <w:p>
      <w:pPr>
        <w:spacing w:before="0" w:after="0" w:line="360" w:lineRule="auto"/>
      </w:pPr>
      <w:r>
        <w:t xml:space="preserve">第一項優勢是複合任務的趨勢追蹤能力。在 S3 與 C3 等複合任務中，persistence 的 Correlation 值全為 0.000，原因是這些任務包含裝置切換或外部條件突變，使前一時步值完全失去預測能力。相較之下，本研究模型在 S3 15min dining_temperature 的 Correlation 達 0.950，S3 15min dining_humidity 達 0.612，S3 60min dining_temperature 達 0.937，均為三者最高。這說明物理結構與設備影響函數提供的先驗資訊，在環境條件快速變化時比純時序延續有更強的趨勢預測能力。</w:t>
      </w:r>
    </w:p>
    <w:p>
      <w:pPr>
        <w:spacing w:before="0" w:after="0" w:line="360" w:lineRule="auto"/>
      </w:pPr>
      <w:r>
        <w:t xml:space="preserve">第二項優勢是長視窗溫度任務的 MAE 與 RMSE。在 60 分鐘預測視窗下，S2 dining_temperature 的 MAE 降至 0.156、RMSE 為 0.202，S3 dining_temperature MAE 為 0.190、RMSE 為 0.243，均為三者最低。persistence 在 60 分鐘後誤差急速累積（S2 persistence MAE 0.470），而本研究因為納入設備狀態與外部條件的結構性估計，使長視窗誤差增長較緩。</w:t>
      </w:r>
    </w:p>
    <w:p>
      <w:pPr>
        <w:spacing w:before="0" w:after="0" w:line="360" w:lineRule="auto"/>
      </w:pPr>
      <w:r>
        <w:t xml:space="preserve">第三項優勢是複合任務的 RMSE 表現。S3 60min dining_illuminance 的 RMSE 為 19.344，低於 persistence 的 21.931 與 linear regression 的 22.763；S3 60min room_illuminance 的 RMSE 為 26.027，也低於另外兩者。RMSE 對離群誤差的放大效應更敏感，這表示本研究模型在極端照度事件的重建上較其他方法更為穩定。</w:t>
      </w:r>
    </w:p>
    <w:p>
      <w:pPr>
        <w:pStyle w:val="Heading3"/>
        <w:spacing w:before="0" w:after="0" w:line="360" w:lineRule="auto"/>
      </w:pPr>
      <w:r>
        <w:rPr>
          <w:b/>
        </w:rPr>
        <w:t xml:space="preserve">5.7.2 劣勢分析</w:t>
      </w:r>
    </w:p>
    <w:p>
      <w:pPr>
        <w:spacing w:before="0" w:after="0" w:line="360" w:lineRule="auto"/>
      </w:pPr>
      <w:r>
        <w:t xml:space="preserve">最明顯的劣勢出現在短視窗純照度任務。SML2010 S1 15min dining_illuminance 的 MAE 為 5.346，高於 persistence 的 3.418 與 linear regression 的 4.023；Correlation 為 0.957，略低於另外兩者的 0.963 與 0.966。CU-BEMS C2 15min illuminance 的差距更大，MAE 7.700 對比 persistence 1.363，RMSE 11.938 對比 persistence 6.344。主要原因是短視窗照度的最佳預測策略接近 persistence（照度在 15 分鐘內變化緩慢），而本研究在對應時段的日照估計引入了額外誤差，反而不如直接沿用上一時步值。</w:t>
      </w:r>
    </w:p>
    <w:p>
      <w:pPr>
        <w:spacing w:before="0" w:after="0" w:line="360" w:lineRule="auto"/>
      </w:pPr>
      <w:r>
        <w:t xml:space="preserve">第二個劣勢是 SML2010 濕度的系統性高估。S2 15min dining_humidity MAE 為 0.832，遠高於 persistence 的 0.198 與 linear regression 的 0.209；S2 15min room_humidity 同樣如此（0.703 對 0.154）。這反映本研究的濕度特徵對齊方式與 SML2010 的量測尺度存在系統性偏差，即模型濕度估計值的基準點偏移，而非隨機誤差。此問題在 S3 複合任務中得到部分改善（S3 dining_humidity MAE 0.335，接近 persistence 0.386），推測是複合任務的外氣濕度特徵提供了更多修正訊號。</w:t>
      </w:r>
    </w:p>
    <w:p>
      <w:pPr>
        <w:spacing w:before="0" w:after="0" w:line="360" w:lineRule="auto"/>
      </w:pPr>
      <w:r>
        <w:t xml:space="preserve">第三個劣勢是 CU-BEMS C2 純照度任務在 60 分鐘視窗下的表現。MAE 9.566 遠高於 persistence 4.012，RMSE 14.234 也高於 persistence 12.065，且 Correlation 0.792 低於 persistence 0.864。CU-BEMS 的照度量測來自多區商辦建築，其照度動態特性（日光、遮蔽、人工照明切換）與本研究單房間物理假設差距較大，使得照度估計誤差在長視窗下難以收斂。</w:t>
      </w:r>
    </w:p>
    <w:p>
      <w:pPr>
        <w:spacing w:before="0" w:after="0" w:line="360" w:lineRule="auto"/>
      </w:pPr>
      <w:r>
        <w:t xml:space="preserve">綜合三項指標，本研究的設計優勢集中在「複合任務、長視窗、裝置切換情境下的趨勢追蹤與誤差穩定性」，弱點則在「短視窗純照度預測」與「與本研究感測拓樸不匹配之外部資料集的濕度估計」。這與本研究的設計定位一致：模型的核心目的是空間場估計與裝置影響學習，而非最小化單一時序預測指標。</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5.8 研究過程與實作挑戰</w:t>
      </w:r>
    </w:p>
    <w:p>
      <w:pPr>
        <w:spacing w:before="0" w:after="0" w:line="360" w:lineRule="auto"/>
      </w:pPr>
      <w:r>
        <w:t xml:space="preserve">本研究在實作過程中有三個直接影響最終模型設計的問題。第一，初期若僅使用 local field 疊加設備作用，會出現冷氣附近快速降溫、房間遠端卻幾乎維持原溫的不合理結果，因此後續必須加入 bulk state 描述全室平均狀態的時間收斂。第二，若只以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這些困難也說明本研究的設計取捨不是任意拼接，而是由實作過程逐步收斂而來：bulk + local field 負責處理全室與局部差異，single-bounce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5.9 可旋轉 3D 展示</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此展示有助於口試或公開展示時說明模型如何從設備位置與環境場估計區域影響。</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更可解釋且更精細的場估計；進一步加入只作用於 temperature / humidity residual trace 的 Fourier low-pass denoising 與 hybrid residual neural correction 後，held-out 情境的場重建誤差可再顯著下降。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或使用者互動查詢的工具化系統。整體成果符合研究目標：在有限感測器與非連網裝置條件下，學習裝置對空間環境的影響，並用於更準確的控制動作推薦。</w:t>
      </w:r>
    </w:p>
    <w:p>
      <w:pPr>
        <w:spacing w:before="0" w:after="0" w:line="360" w:lineRule="auto"/>
      </w:pPr>
      <w:r>
        <w:t xml:space="preserve">在公開資料集 task-aligned benchmark 方面，本研究以 MAE、RMSE 與 Pearson Correlation 三項指標，對比 persistence 與 linear regression 兩個 baseline。結果顯示，本研究在複合任務（S3、C3）與長視窗（60min）溫度任務上具備明顯優勢：S3 複合任務中 persistence 的 Correlation 全為 0.000（因裝置切換導致趨勢中斷），而本研究仍維持 0.61–0.95 的有效趨勢預測能力；60min 視窗下溫度 MAE 與 RMSE 均為三者最低，說明物理結構在長視窗預測中優於純時序延續策略。劣勢則主要集中於短視窗純照度任務（15min）與外部資料濕度尺度不匹配：前者因照度在短時間內變化緩慢，persistence 策略本身即為有效 baseline；後者反映 SML2010 濕度量測尺度與本研究估計基準存在系統性偏差。此分析說明本研究的優勢來自模型結構對裝置影響的顯式建模，而非針對純時序預測最佳化。</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目前結果主要來自文獻參數與合理物理假設模擬，尚未加入大量真實房間資料。</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控制功能為推薦排序，尚未進入自動閉環控制。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加入實體 ESP32 感測器資料，以校正與驗證模型參數。</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進一步研究閉環控制，將推薦排序延伸為實際控制策略。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sectPr>
      <w:pgSz w:w="11906" w:h="16838"/>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s>
</file>

<file path=docProps/app.xml><?xml version="1.0" encoding="utf-8"?>
<Properties xmlns="http://schemas.openxmlformats.org/officeDocument/2006/extended-properties" xmlns:vt="http://schemas.openxmlformats.org/officeDocument/2006/docPropsVTypes">
  <Application>Codex stdlib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Codex generated draft</dc:creator>
  <cp:lastModifiedBy>Codex</cp:lastModifiedBy>
  <dcterms:created xsi:type="dcterms:W3CDTF">2026-04-21T01:09:53.886322+08:00</dcterms:created>
  <dcterms:modified xsi:type="dcterms:W3CDTF">2026-04-21T01:09:53.886322+08:00</dcterms:modified>
</cp:coreProperties>
</file>