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比較、synthetic ablation、hybrid residual leave-one-scenario-out 測試，以及 7 天真實臥室快照比較驗證方法可行性；其中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Hybrid residual robustness checks…… 15</w:t>
      </w:r>
    </w:p>
    <w:p>
      <w:pPr>
        <w:spacing w:before="0" w:after="0" w:line="360" w:lineRule="auto"/>
      </w:pPr>
      <w:r>
        <w:t xml:space="preserve">表 5-5 窗戶矩陣情境節選……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5-7 SML2010 Benchmark 結果…… 17</w:t>
      </w:r>
    </w:p>
    <w:p>
      <w:pPr>
        <w:spacing w:before="0" w:after="0" w:line="360" w:lineRule="auto"/>
      </w:pPr>
      <w:r>
        <w:t xml:space="preserve">表 5-8 CU-BEMS Benchmark 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5-4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5-7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5-8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5.9.1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2026-04-21T21:48:32.609792+08:00</dcterms:created>
  <dcterms:modified xsi:type="dcterms:W3CDTF">2026-04-21T21:48:32.609792+08:00</dcterms:modified>
</cp:coreProperties>
</file>