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資料修正、回溯敏感度與同伺服器確認</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w:t>
      </w:r>
    </w:p>
    <w:p>
      <w:pPr>
        <w:spacing w:before="0" w:after="0" w:line="360" w:lineRule="auto"/>
      </w:pPr>
      <w:r>
        <w:t xml:space="preserve">E15 在檔案、模型內容 hash 與十項閘門預先固定後，對另 14 個先前未開啟檔案完成一次不重訓確認，共保留 3,112 rows。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E15 同伺服器 temporal/workload confirmation</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1.6939</w:t>
            </w:r>
          </w:p>
        </w:tc>
        <w:tc>
          <w:tcPr>
            <w:tcW w:w="2200" w:type="dxa"/>
          </w:tcPr>
          <w:p>
            <w:pPr>
              <w:spacing w:before="0" w:after="0" w:line="360" w:lineRule="auto"/>
            </w:pPr>
            <w:r>
              <w:t xml:space="preserve">1.9672</w:t>
            </w:r>
          </w:p>
        </w:tc>
        <w:tc>
          <w:tcPr>
            <w:tcW w:w="2200" w:type="dxa"/>
          </w:tcPr>
          <w:p>
            <w:pPr>
              <w:spacing w:before="0" w:after="0" w:line="360" w:lineRule="auto"/>
            </w:pPr>
            <w:r>
              <w:t xml:space="preserve">3.5000</w:t>
            </w:r>
          </w:p>
        </w:tc>
        <w:tc>
          <w:tcPr>
            <w:tcW w:w="2200" w:type="dxa"/>
          </w:tcPr>
          <w:p>
            <w:pPr>
              <w:spacing w:before="0" w:after="0" w:line="360" w:lineRule="auto"/>
            </w:pPr>
            <w:r>
              <w:t xml:space="preserve">2/14</w:t>
            </w:r>
          </w:p>
        </w:tc>
      </w:tr>
      <w:tr>
        <w:tc>
          <w:tcPr>
            <w:tcW w:w="2200" w:type="dxa"/>
          </w:tcPr>
          <w:p>
            <w:pPr>
              <w:spacing w:before="0" w:after="0" w:line="360" w:lineRule="auto"/>
            </w:pPr>
            <w:r>
              <w:t xml:space="preserve">Frozen load-aware ridge</w:t>
            </w:r>
          </w:p>
        </w:tc>
        <w:tc>
          <w:tcPr>
            <w:tcW w:w="2200" w:type="dxa"/>
          </w:tcPr>
          <w:p>
            <w:pPr>
              <w:spacing w:before="0" w:after="0" w:line="360" w:lineRule="auto"/>
            </w:pPr>
            <w:r>
              <w:t xml:space="preserve">0.9744</w:t>
            </w:r>
          </w:p>
        </w:tc>
        <w:tc>
          <w:tcPr>
            <w:tcW w:w="2200" w:type="dxa"/>
          </w:tcPr>
          <w:p>
            <w:pPr>
              <w:spacing w:before="0" w:after="0" w:line="360" w:lineRule="auto"/>
            </w:pPr>
            <w:r>
              <w:t xml:space="preserve">1.2056</w:t>
            </w:r>
          </w:p>
        </w:tc>
        <w:tc>
          <w:tcPr>
            <w:tcW w:w="2200" w:type="dxa"/>
          </w:tcPr>
          <w:p>
            <w:pPr>
              <w:spacing w:before="0" w:after="0" w:line="360" w:lineRule="auto"/>
            </w:pPr>
            <w:r>
              <w:t xml:space="preserve">2.3888</w:t>
            </w:r>
          </w:p>
        </w:tc>
        <w:tc>
          <w:tcPr>
            <w:tcW w:w="2200" w:type="dxa"/>
          </w:tcPr>
          <w:p>
            <w:pPr>
              <w:spacing w:before="0" w:after="0" w:line="360" w:lineRule="auto"/>
            </w:pPr>
            <w:r>
              <w:t xml:space="preserve">12/14</w:t>
            </w:r>
          </w:p>
        </w:tc>
      </w:tr>
    </w:tbl>
    <w:p>
      <w:pPr>
        <w:spacing w:before="0" w:after="0" w:line="360" w:lineRule="auto"/>
      </w:pPr>
      <w:r>
        <w:t xml:space="preserve">E15 的 macro run MAE 改善為 0.6134 °C，20,000 次 run-block bootstrap 95% 區間為 [0.2721, 0.9831] °C；十項閘門全數通過，因此 H-ENC-08 判定支持。仍保留 202308051757.csv 與 202310252230.csv 的負向結果，MAE 改善分別為 -0.5537 與 -0.3011 °C。此確認僅支持同一伺服器的 temporal/workload transfer，不驗證個人電腦機箱、NTC 硬體、跨伺服器轉移、3-D 空間熱場或控制效益；機箱是目前應用推進方向，單房間研究仍保留為論文整體範圍。</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E12–E15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2.7939]°C。E15 再以另 14 個先前未開啟檔案、3,112 rows 完成不重訓確認，MAE 由 1.6939°C 降至 0.9744°C、勝出 12/14 runs，macro run MAE 改善區間為 [0.2721, 0.9831]°C，十項閘門全通過。H-ENC-08 的支持僅限同伺服器 temporal/workload transfer，仍有兩個 runs 退步。</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仍只構成回溯候選資格證據；E15 雖通過十項閘門、12/14 runs 勝出，但只支持同伺服器 temporal/workload transfer，且兩個退步 runs 必須保留。</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場估測器；機箱假設模型控制模擬已評估，實體閉環控制仍為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E15 已完成同伺服器 temporal/workload confirmation；後續個人電腦機箱實測、跨機箱、跨伺服器、NTC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1"/>
        <w:spacing w:before="0" w:after="0" w:line="360" w:lineRule="auto"/>
      </w:pPr>
      <w:r>
        <w:rPr>
          <w:b/>
        </w:rPr>
        <w:t xml:space="preserve">機箱受限制 MPC 探索性模擬</w:t>
      </w:r>
    </w:p>
    <w:p>
      <w:pPr>
        <w:spacing w:before="0" w:after="0" w:line="360" w:lineRule="auto"/>
      </w:pPr>
      <w:r>
        <w:t xml:space="preserve">2026-10-05 完成 CPU/GPU 雙熱節點與風扇延遲的受限制 MPC 探索性模擬。calibration 後鎖定控制器，另跑 36 回合、4,320 個控制步，涵蓋 validation、holdout、模型失配與過載。holdout 的三 seed macro tracking MAE 為固定風扇 5.4378°C、PID 2.6034°C、MPC 1.4426°C，MPC 相對 PID 降低 44.59%。nominal 六個 MPC 回合均無 PWM／slew 違例、超溫或求解回退。</w:t>
      </w:r>
    </w:p>
    <w:p>
      <w:pPr>
        <w:spacing w:before="0" w:after="0" w:line="360" w:lineRule="auto"/>
      </w:pPr>
      <w:r>
        <w:t xml:space="preserve">代價是 holdout 風扇能耗 proxy 由 PID 0.5873 Wh 增至 MPC 0.8234 Wh，PWM total variation 亦增加。過載仍超溫，MPC 平均每回合 63.33 步求解回退；溫度為軟限制，不能視為安全保證。參數、負載與功耗曲線均為假設，plant 與 predictor 雖採不同數值積分，仍共享名義熱參數。本結果只支持假設模型內的探索性可行性與追蹤改善，不代表機箱辨識、NTC、實體控制、throttling、整機功耗或跨設備確認。E8 保持 NOT_EVALUATED，LQR 保持 TODO。</w:t>
      </w:r>
    </w:p>
    <w:p>
      <w:pPr>
        <w:pStyle w:val="Heading1"/>
        <w:spacing w:before="0" w:after="0" w:line="360" w:lineRule="auto"/>
      </w:pPr>
      <w:r>
        <w:rPr>
          <w:b/>
        </w:rPr>
        <w:t xml:space="preserve">機箱四方法探索性模擬（v2）</w:t>
      </w:r>
    </w:p>
    <w:p>
      <w:pPr>
        <w:spacing w:before="0" w:after="0" w:line="360" w:lineRule="auto"/>
      </w:pPr>
      <w:r>
        <w:t xml:space="preserve">2026-10-05 第二階段完成四方法假設模型探索性比較，共 48 回合、5,760 控制步。每方法依相同三個 calibration seeds 評估三個候選，選參後凍結，再開啟新的 validation、holdout、假設模型變體與過載。holdout 三 seed 等權 tracking MAE：固定風扇 2.9051°C、PID＋平衡點前饋 1.7713°C、經限制的 LQR 1.7304°C、受限制 MPC 1.8071°C。相同方法順序的風扇能耗 proxy 為 0.7200／0.9832／1.0034／1.0567 Wh。研究判準：H-CTRL-01=SUPPORTED_SIMULATION_ONLY；H-CTRL-02=NOT_SUPPORTED；H-CTRL-03=NOT_SUPPORTED。</w:t>
      </w:r>
    </w:p>
    <w:p>
      <w:pPr>
        <w:spacing w:before="0" w:after="0" w:line="360" w:lineRule="auto"/>
      </w:pPr>
      <w:r>
        <w:t xml:space="preserve">固定風扇：取樣超溫 1096.7 s、數值回退 0.00 步／回合；PID＋平衡點前饋：取樣超溫 1040.0 s、數值回退 0.00 步／回合；經限制的 LQR：取樣超溫 1126.7 s、數值回退 0.00 步／回合；受限制 MPC：取樣超溫 1040.0 s、數值回退 0.00 步／回合</w:t>
      </w:r>
    </w:p>
    <w:p>
      <w:pPr>
        <w:spacing w:before="0" w:after="0" w:line="360" w:lineRule="auto"/>
      </w:pPr>
      <w:r>
        <w:t xml:space="preserve">四方法使用相同候選評估回合預算，CPU 計算時間並不相等。PID＋前饋、LQR 與 MPC 知道名義假設參數，且完整狀態可見；數值積分方式不同不等於獨立物理驗證。plant_holdout 是三組預先指定的假設參數變體，不能支持跨實體設備泛化。新合成 seeds 也不是實體設備樣本。超溫秒數按每 10 秒末端取樣估計；風扇能耗採 10u³ W 假設，不能代替整機功耗。溫度限制為軟限制，求解成功不代表熱能力足夠或硬體安全。實體機箱、NTC、throttling、整機功耗與 E8 仍為 NOT_EVALUATED。舊 v1 報告中的 LQR TODO 是第一階段的歷史狀態。</w:t>
      </w:r>
    </w:p>
    <w:p>
      <w:pPr>
        <w:pStyle w:val="Heading1"/>
        <w:spacing w:before="0" w:after="0" w:line="360" w:lineRule="auto"/>
      </w:pPr>
      <w:r>
        <w:rPr>
          <w:b/>
        </w:rPr>
        <w:t xml:space="preserve">稀疏機箱溫度候選原型（2026-10-06）</w:t>
      </w:r>
    </w:p>
    <w:p>
      <w:pPr>
        <w:spacing w:before="0" w:after="0" w:line="360" w:lineRule="auto"/>
      </w:pPr>
      <w:r>
        <w:t xml:space="preserve">2026-10-06 依教授交辦查證金屬傳熱與風管場景，建立熱源／金屬片／空氣熱網路候選原型，以金屬片、空氣與風扇觀測估測未提供的熱源溫度。三組假設平台採相同有限辨識程序，完成 108 回合、19,440 步。新的合成 holdout 上，名義物理／辨識物理／稀疏校正熱源估測 MAE 為 0.9610/0.6580/0.3352°C；稀疏校正相對辨識物理減少 49.06%，6/6 組改善。固定／PI／PID／單步排序／六步排序／六步無校正的 tracking MAE 為 1.5458/1.2219/1.2221/1.3969/1.2708/1.3644°C。六步相對單步減少 9.03%，仍未優於 PI；六步排序平均取樣超溫 103.33 秒／回合。H-ENC-31／H-ENC-32 只在此 exploratory simulation 的事前判準內 supported。</w:t>
      </w:r>
    </w:p>
    <w:p>
      <w:pPr>
        <w:spacing w:before="0" w:after="0" w:line="360" w:lineRule="auto"/>
      </w:pPr>
      <w:r>
        <w:t xml:space="preserve">本輪為溫度子問題與假設熱網路：已知熱容量和部分係數，單一方程家族、三組指定參數與合成噪聲。金屬片／風管增益是假設，未量測實際裝置；有限候選排序不是 LQR 或完整 MPC。20–30°C 外的樣本完整保留，但不擴張原室內模型適用域。濕度、光照、三維空間場、完整三因子遷移與實體辨識／介入均未評估。</w:t>
      </w:r>
    </w:p>
    <w:p>
      <w:pPr>
        <w:spacing w:before="0" w:after="0" w:line="360" w:lineRule="auto"/>
      </w:pPr>
      <w:r>
        <w:t xml:space="preserve">已為下週準備 LQR 與 Kalman (1960) Contributions to the Theory of Optimal Control 的介紹。重點查閱原文問題、狀態精確已知假設、可控／可觀測與 Riccati／穩定定理敘述；未重證全部證明，亦尚未口頭報告。</w:t>
      </w:r>
    </w:p>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2026-10-06T11:42:52.503280+08:00</dcterms:created>
  <dcterms:modified xsi:type="dcterms:W3CDTF">2026-10-06T11:42:52.503280+08:00</dcterms:modified>
</cp:coreProperties>
</file>