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40701" w14:textId="4D378CA4" w:rsidR="00784B9E" w:rsidRDefault="00000000">
      <w:pPr>
        <w:spacing w:after="160" w:line="252" w:lineRule="auto"/>
        <w:jc w:val="center"/>
      </w:pPr>
      <w:r>
        <w:rPr>
          <w:b/>
          <w:sz w:val="32"/>
        </w:rPr>
        <w:t>Static Grating Orientation Decoding</w:t>
      </w:r>
    </w:p>
    <w:p w14:paraId="1C6D8283" w14:textId="77777777" w:rsidR="00784B9E" w:rsidRDefault="00000000">
      <w:pPr>
        <w:spacing w:after="80" w:line="252" w:lineRule="auto"/>
      </w:pPr>
      <w:r>
        <w:rPr>
          <w:i/>
        </w:rPr>
        <w:t>Allen Brain Observatory visual areas: VISp, VISl and VISpm</w:t>
      </w:r>
    </w:p>
    <w:p w14:paraId="3034AA91" w14:textId="77777777" w:rsidR="00784B9E" w:rsidRDefault="00000000">
      <w:pPr>
        <w:pStyle w:val="Heading1"/>
        <w:spacing w:after="80" w:line="252" w:lineRule="auto"/>
      </w:pPr>
      <w:r>
        <w:rPr>
          <w:rFonts w:ascii="Arial" w:hAnsi="Arial"/>
        </w:rPr>
        <w:t>1. Objective</w:t>
      </w:r>
    </w:p>
    <w:p w14:paraId="6F804162" w14:textId="299B9359" w:rsidR="00784B9E" w:rsidRDefault="00000000">
      <w:pPr>
        <w:spacing w:after="80" w:line="252" w:lineRule="auto"/>
      </w:pPr>
      <w:r>
        <w:t xml:space="preserve">The aim of this analysis was to determine whether population neural activity in visual cortex could decode static-grating orientation. </w:t>
      </w:r>
      <w:r>
        <w:rPr>
          <w:b/>
        </w:rPr>
        <w:t xml:space="preserve">Two decoding tasks: </w:t>
      </w:r>
      <w:r>
        <w:t>(1) binary discrimination between 0° and 90°, and (2) six-class discrimination among 0°, 30°, 60°, 90°, 120° and 150°.</w:t>
      </w:r>
    </w:p>
    <w:p w14:paraId="26593C19" w14:textId="77777777" w:rsidR="00784B9E" w:rsidRDefault="00000000">
      <w:pPr>
        <w:pStyle w:val="Heading1"/>
        <w:spacing w:after="80" w:line="252" w:lineRule="auto"/>
      </w:pPr>
      <w:r>
        <w:rPr>
          <w:rFonts w:ascii="Arial" w:hAnsi="Arial"/>
        </w:rPr>
        <w:t>2. Decoding model and features</w:t>
      </w:r>
    </w:p>
    <w:p w14:paraId="48634959" w14:textId="77777777" w:rsidR="00784B9E" w:rsidRDefault="00000000">
      <w:pPr>
        <w:spacing w:after="80" w:line="252" w:lineRule="auto"/>
      </w:pPr>
      <w:r>
        <w:t>Neural features were population spike counts measured during the first 250 ms after stimulus onset. The classifier was logistic regression, implemented in a scikit-learn pipeline with StandardScaler followed by LogisticRegression. Performance was evaluated using stratified 10-fold cross-validation with shuffled folds and a fixed random seed. Area-specific analyses were performed for VISp, VISl and VISpm. To compare areas more fairly, neuron count was also matched to 40 neurons per area using repeated random subsampling (20 repeats).</w:t>
      </w:r>
    </w:p>
    <w:p w14:paraId="2401B300" w14:textId="77777777" w:rsidR="00784B9E" w:rsidRDefault="00000000">
      <w:pPr>
        <w:pStyle w:val="Heading1"/>
        <w:spacing w:after="80" w:line="252" w:lineRule="auto"/>
      </w:pPr>
      <w:r>
        <w:rPr>
          <w:rFonts w:ascii="Arial" w:hAnsi="Arial"/>
        </w:rPr>
        <w:t>3. Binary orientation decoding: 0° vs 90°</w:t>
      </w:r>
    </w:p>
    <w:p w14:paraId="703CCE67" w14:textId="289ECDA3" w:rsidR="00784B9E" w:rsidRDefault="00000000">
      <w:pPr>
        <w:spacing w:after="80" w:line="252" w:lineRule="auto"/>
      </w:pPr>
      <w:r w:rsidRPr="00430F1A">
        <w:rPr>
          <w:bCs/>
        </w:rPr>
        <w:t xml:space="preserve">Population spike counts strongly separated the two orientations. </w:t>
      </w:r>
      <w:r>
        <w:t xml:space="preserve">Combining neurons from </w:t>
      </w:r>
      <w:proofErr w:type="spellStart"/>
      <w:r>
        <w:t>VISp</w:t>
      </w:r>
      <w:proofErr w:type="spellEnd"/>
      <w:r>
        <w:t xml:space="preserve">, </w:t>
      </w:r>
      <w:proofErr w:type="spellStart"/>
      <w:r>
        <w:t>VISl</w:t>
      </w:r>
      <w:proofErr w:type="spellEnd"/>
      <w:r>
        <w:t xml:space="preserve"> and </w:t>
      </w:r>
      <w:proofErr w:type="spellStart"/>
      <w:r>
        <w:t>VISpm</w:t>
      </w:r>
      <w:proofErr w:type="spellEnd"/>
      <w:r>
        <w:t xml:space="preserve"> produced a mean decoding accuracy of </w:t>
      </w:r>
      <w:r>
        <w:rPr>
          <w:b/>
        </w:rPr>
        <w:t>96.45%</w:t>
      </w:r>
      <w:r w:rsidR="00430F1A">
        <w:rPr>
          <w:b/>
        </w:rPr>
        <w:t xml:space="preserve"> </w:t>
      </w:r>
      <w:r w:rsidR="00430F1A" w:rsidRPr="00430F1A">
        <w:rPr>
          <w:bCs/>
          <w:lang w:eastAsia="zh-CN"/>
        </w:rPr>
        <w:t>(chance level 50%)</w:t>
      </w:r>
      <w:r w:rsidRPr="00430F1A">
        <w:rPr>
          <w:rFonts w:hint="eastAsia"/>
          <w:bCs/>
          <w:lang w:eastAsia="zh-CN"/>
        </w:rPr>
        <w:t>.</w:t>
      </w:r>
      <w:r w:rsidRPr="00430F1A">
        <w:rPr>
          <w:bCs/>
        </w:rPr>
        <w:t xml:space="preserve"> </w:t>
      </w:r>
      <w:r>
        <w:t>This indicates that orientation information was highly separable at the population level for this stimulus condition.</w:t>
      </w:r>
    </w:p>
    <w:p w14:paraId="67C74997" w14:textId="77777777" w:rsidR="00784B9E" w:rsidRDefault="00000000">
      <w:pPr>
        <w:pStyle w:val="Heading2"/>
        <w:spacing w:after="80" w:line="252" w:lineRule="auto"/>
      </w:pPr>
      <w:r>
        <w:rPr>
          <w:rFonts w:ascii="Arial" w:hAnsi="Arial"/>
        </w:rPr>
        <w:t>3.1 Each area using all available neurons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784B9E" w14:paraId="7636073E" w14:textId="77777777">
        <w:trPr>
          <w:jc w:val="center"/>
        </w:trPr>
        <w:tc>
          <w:tcPr>
            <w:tcW w:w="2448" w:type="dxa"/>
            <w:vAlign w:val="center"/>
          </w:tcPr>
          <w:p w14:paraId="635F0F94" w14:textId="77777777" w:rsidR="00784B9E" w:rsidRDefault="00000000">
            <w:r>
              <w:rPr>
                <w:b/>
                <w:sz w:val="20"/>
              </w:rPr>
              <w:t>Area</w:t>
            </w:r>
          </w:p>
        </w:tc>
        <w:tc>
          <w:tcPr>
            <w:tcW w:w="2448" w:type="dxa"/>
            <w:vAlign w:val="center"/>
          </w:tcPr>
          <w:p w14:paraId="50E585EB" w14:textId="77777777" w:rsidR="00784B9E" w:rsidRDefault="00000000">
            <w:r>
              <w:rPr>
                <w:b/>
                <w:sz w:val="20"/>
              </w:rPr>
              <w:t>Neurons</w:t>
            </w:r>
          </w:p>
        </w:tc>
        <w:tc>
          <w:tcPr>
            <w:tcW w:w="2448" w:type="dxa"/>
            <w:vAlign w:val="center"/>
          </w:tcPr>
          <w:p w14:paraId="104F6A75" w14:textId="77777777" w:rsidR="00784B9E" w:rsidRDefault="00000000">
            <w:r>
              <w:rPr>
                <w:b/>
                <w:sz w:val="20"/>
              </w:rPr>
              <w:t>Mean accuracy</w:t>
            </w:r>
          </w:p>
        </w:tc>
        <w:tc>
          <w:tcPr>
            <w:tcW w:w="2448" w:type="dxa"/>
            <w:vAlign w:val="center"/>
          </w:tcPr>
          <w:p w14:paraId="51B3B510" w14:textId="77777777" w:rsidR="00784B9E" w:rsidRDefault="00000000">
            <w:r>
              <w:rPr>
                <w:b/>
                <w:sz w:val="20"/>
              </w:rPr>
              <w:t>CV standard deviation</w:t>
            </w:r>
          </w:p>
        </w:tc>
      </w:tr>
      <w:tr w:rsidR="00784B9E" w14:paraId="317E3361" w14:textId="77777777">
        <w:trPr>
          <w:jc w:val="center"/>
        </w:trPr>
        <w:tc>
          <w:tcPr>
            <w:tcW w:w="2448" w:type="dxa"/>
            <w:vAlign w:val="center"/>
          </w:tcPr>
          <w:p w14:paraId="11C0CCF6" w14:textId="77777777" w:rsidR="00784B9E" w:rsidRDefault="00000000">
            <w:r>
              <w:rPr>
                <w:sz w:val="20"/>
              </w:rPr>
              <w:t>VISp</w:t>
            </w:r>
          </w:p>
        </w:tc>
        <w:tc>
          <w:tcPr>
            <w:tcW w:w="2448" w:type="dxa"/>
            <w:vAlign w:val="center"/>
          </w:tcPr>
          <w:p w14:paraId="2C83C160" w14:textId="77777777" w:rsidR="00784B9E" w:rsidRDefault="00000000">
            <w:r>
              <w:rPr>
                <w:sz w:val="20"/>
              </w:rPr>
              <w:t>110</w:t>
            </w:r>
          </w:p>
        </w:tc>
        <w:tc>
          <w:tcPr>
            <w:tcW w:w="2448" w:type="dxa"/>
            <w:vAlign w:val="center"/>
          </w:tcPr>
          <w:p w14:paraId="559E48B4" w14:textId="77777777" w:rsidR="00784B9E" w:rsidRDefault="00000000">
            <w:r>
              <w:rPr>
                <w:sz w:val="20"/>
              </w:rPr>
              <w:t>88.07%</w:t>
            </w:r>
          </w:p>
        </w:tc>
        <w:tc>
          <w:tcPr>
            <w:tcW w:w="2448" w:type="dxa"/>
            <w:vAlign w:val="center"/>
          </w:tcPr>
          <w:p w14:paraId="34581083" w14:textId="77777777" w:rsidR="00784B9E" w:rsidRDefault="00000000">
            <w:r>
              <w:rPr>
                <w:sz w:val="20"/>
              </w:rPr>
              <w:t>3.42%</w:t>
            </w:r>
          </w:p>
        </w:tc>
      </w:tr>
      <w:tr w:rsidR="00784B9E" w14:paraId="5936ACDF" w14:textId="77777777">
        <w:trPr>
          <w:jc w:val="center"/>
        </w:trPr>
        <w:tc>
          <w:tcPr>
            <w:tcW w:w="2448" w:type="dxa"/>
            <w:vAlign w:val="center"/>
          </w:tcPr>
          <w:p w14:paraId="5185D625" w14:textId="77777777" w:rsidR="00784B9E" w:rsidRDefault="00000000">
            <w:r>
              <w:rPr>
                <w:sz w:val="20"/>
              </w:rPr>
              <w:t>VISl</w:t>
            </w:r>
          </w:p>
        </w:tc>
        <w:tc>
          <w:tcPr>
            <w:tcW w:w="2448" w:type="dxa"/>
            <w:vAlign w:val="center"/>
          </w:tcPr>
          <w:p w14:paraId="16753557" w14:textId="77777777" w:rsidR="00784B9E" w:rsidRDefault="00000000">
            <w:r>
              <w:rPr>
                <w:sz w:val="20"/>
              </w:rPr>
              <w:t>40</w:t>
            </w:r>
          </w:p>
        </w:tc>
        <w:tc>
          <w:tcPr>
            <w:tcW w:w="2448" w:type="dxa"/>
            <w:vAlign w:val="center"/>
          </w:tcPr>
          <w:p w14:paraId="298C13AA" w14:textId="77777777" w:rsidR="00784B9E" w:rsidRDefault="00000000">
            <w:r>
              <w:rPr>
                <w:sz w:val="20"/>
              </w:rPr>
              <w:t>90.60%</w:t>
            </w:r>
          </w:p>
        </w:tc>
        <w:tc>
          <w:tcPr>
            <w:tcW w:w="2448" w:type="dxa"/>
            <w:vAlign w:val="center"/>
          </w:tcPr>
          <w:p w14:paraId="7DDB180D" w14:textId="77777777" w:rsidR="00784B9E" w:rsidRDefault="00000000">
            <w:r>
              <w:rPr>
                <w:sz w:val="20"/>
              </w:rPr>
              <w:t>5.72%</w:t>
            </w:r>
          </w:p>
        </w:tc>
      </w:tr>
      <w:tr w:rsidR="00784B9E" w14:paraId="5597E15A" w14:textId="77777777">
        <w:trPr>
          <w:jc w:val="center"/>
        </w:trPr>
        <w:tc>
          <w:tcPr>
            <w:tcW w:w="2448" w:type="dxa"/>
            <w:vAlign w:val="center"/>
          </w:tcPr>
          <w:p w14:paraId="2192D47C" w14:textId="77777777" w:rsidR="00784B9E" w:rsidRDefault="00000000">
            <w:r>
              <w:rPr>
                <w:sz w:val="20"/>
              </w:rPr>
              <w:t>VISpm</w:t>
            </w:r>
          </w:p>
        </w:tc>
        <w:tc>
          <w:tcPr>
            <w:tcW w:w="2448" w:type="dxa"/>
            <w:vAlign w:val="center"/>
          </w:tcPr>
          <w:p w14:paraId="18EE5AFD" w14:textId="77777777" w:rsidR="00784B9E" w:rsidRDefault="00000000">
            <w:r>
              <w:rPr>
                <w:sz w:val="20"/>
              </w:rPr>
              <w:t>66</w:t>
            </w:r>
          </w:p>
        </w:tc>
        <w:tc>
          <w:tcPr>
            <w:tcW w:w="2448" w:type="dxa"/>
            <w:vAlign w:val="center"/>
          </w:tcPr>
          <w:p w14:paraId="0B254965" w14:textId="77777777" w:rsidR="00784B9E" w:rsidRDefault="00000000">
            <w:r>
              <w:rPr>
                <w:sz w:val="20"/>
              </w:rPr>
              <w:t>94.40%</w:t>
            </w:r>
          </w:p>
        </w:tc>
        <w:tc>
          <w:tcPr>
            <w:tcW w:w="2448" w:type="dxa"/>
            <w:vAlign w:val="center"/>
          </w:tcPr>
          <w:p w14:paraId="307D64FC" w14:textId="77777777" w:rsidR="00784B9E" w:rsidRDefault="00000000">
            <w:r>
              <w:rPr>
                <w:sz w:val="20"/>
              </w:rPr>
              <w:t>3.39%</w:t>
            </w:r>
          </w:p>
        </w:tc>
      </w:tr>
    </w:tbl>
    <w:p w14:paraId="3EAD1050" w14:textId="77777777" w:rsidR="00784B9E" w:rsidRDefault="00000000">
      <w:pPr>
        <w:spacing w:after="80" w:line="252" w:lineRule="auto"/>
      </w:pPr>
      <w:r>
        <w:t>Using all available neurons, VISpm achieved the highest area-specific decoding accuracy. However, this comparison is affected by unequal population sizes across areas.</w:t>
      </w:r>
    </w:p>
    <w:p w14:paraId="1057A601" w14:textId="77777777" w:rsidR="00784B9E" w:rsidRDefault="00000000">
      <w:pPr>
        <w:pStyle w:val="Heading2"/>
        <w:spacing w:after="80" w:line="252" w:lineRule="auto"/>
      </w:pPr>
      <w:r>
        <w:rPr>
          <w:rFonts w:ascii="Arial" w:hAnsi="Arial"/>
        </w:rPr>
        <w:t>3.2 Fair comparison using 40 neurons per area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4B9E" w14:paraId="64E069DC" w14:textId="77777777">
        <w:trPr>
          <w:jc w:val="center"/>
        </w:trPr>
        <w:tc>
          <w:tcPr>
            <w:tcW w:w="3264" w:type="dxa"/>
            <w:vAlign w:val="center"/>
          </w:tcPr>
          <w:p w14:paraId="0D883F25" w14:textId="77777777" w:rsidR="00784B9E" w:rsidRDefault="00000000">
            <w:r>
              <w:rPr>
                <w:b/>
                <w:sz w:val="20"/>
              </w:rPr>
              <w:t>Area</w:t>
            </w:r>
          </w:p>
        </w:tc>
        <w:tc>
          <w:tcPr>
            <w:tcW w:w="3264" w:type="dxa"/>
            <w:vAlign w:val="center"/>
          </w:tcPr>
          <w:p w14:paraId="3EEB2C8F" w14:textId="77777777" w:rsidR="00784B9E" w:rsidRDefault="00000000">
            <w:r>
              <w:rPr>
                <w:b/>
                <w:sz w:val="20"/>
              </w:rPr>
              <w:t>Matched-neuron accuracy</w:t>
            </w:r>
          </w:p>
        </w:tc>
        <w:tc>
          <w:tcPr>
            <w:tcW w:w="3264" w:type="dxa"/>
            <w:vAlign w:val="center"/>
          </w:tcPr>
          <w:p w14:paraId="5F1933AD" w14:textId="77777777" w:rsidR="00784B9E" w:rsidRDefault="00000000">
            <w:r>
              <w:rPr>
                <w:b/>
                <w:sz w:val="20"/>
              </w:rPr>
              <w:t>Variation across sampled populations</w:t>
            </w:r>
          </w:p>
        </w:tc>
      </w:tr>
      <w:tr w:rsidR="00784B9E" w14:paraId="04F1DE22" w14:textId="77777777">
        <w:trPr>
          <w:jc w:val="center"/>
        </w:trPr>
        <w:tc>
          <w:tcPr>
            <w:tcW w:w="3264" w:type="dxa"/>
            <w:vAlign w:val="center"/>
          </w:tcPr>
          <w:p w14:paraId="1049F9FC" w14:textId="77777777" w:rsidR="00784B9E" w:rsidRDefault="00000000">
            <w:r>
              <w:rPr>
                <w:sz w:val="20"/>
              </w:rPr>
              <w:t>VISp</w:t>
            </w:r>
          </w:p>
        </w:tc>
        <w:tc>
          <w:tcPr>
            <w:tcW w:w="3264" w:type="dxa"/>
            <w:vAlign w:val="center"/>
          </w:tcPr>
          <w:p w14:paraId="010802F4" w14:textId="77777777" w:rsidR="00784B9E" w:rsidRDefault="00000000">
            <w:r>
              <w:rPr>
                <w:sz w:val="20"/>
              </w:rPr>
              <w:t>82.88%</w:t>
            </w:r>
          </w:p>
        </w:tc>
        <w:tc>
          <w:tcPr>
            <w:tcW w:w="3264" w:type="dxa"/>
            <w:vAlign w:val="center"/>
          </w:tcPr>
          <w:p w14:paraId="2B660C48" w14:textId="77777777" w:rsidR="00784B9E" w:rsidRDefault="00000000">
            <w:r>
              <w:rPr>
                <w:sz w:val="20"/>
              </w:rPr>
              <w:t>2.98%</w:t>
            </w:r>
          </w:p>
        </w:tc>
      </w:tr>
      <w:tr w:rsidR="00784B9E" w14:paraId="758D2B27" w14:textId="77777777">
        <w:trPr>
          <w:jc w:val="center"/>
        </w:trPr>
        <w:tc>
          <w:tcPr>
            <w:tcW w:w="3264" w:type="dxa"/>
            <w:vAlign w:val="center"/>
          </w:tcPr>
          <w:p w14:paraId="4DE37144" w14:textId="77777777" w:rsidR="00784B9E" w:rsidRDefault="00000000">
            <w:r>
              <w:rPr>
                <w:sz w:val="20"/>
              </w:rPr>
              <w:t>VISl</w:t>
            </w:r>
          </w:p>
        </w:tc>
        <w:tc>
          <w:tcPr>
            <w:tcW w:w="3264" w:type="dxa"/>
            <w:vAlign w:val="center"/>
          </w:tcPr>
          <w:p w14:paraId="297D14A9" w14:textId="77777777" w:rsidR="00784B9E" w:rsidRDefault="00000000">
            <w:r>
              <w:rPr>
                <w:sz w:val="20"/>
              </w:rPr>
              <w:t>90.60%</w:t>
            </w:r>
          </w:p>
        </w:tc>
        <w:tc>
          <w:tcPr>
            <w:tcW w:w="3264" w:type="dxa"/>
            <w:vAlign w:val="center"/>
          </w:tcPr>
          <w:p w14:paraId="3E8E562F" w14:textId="6D59A492" w:rsidR="00784B9E" w:rsidRDefault="00430F1A">
            <w:r>
              <w:rPr>
                <w:sz w:val="20"/>
              </w:rPr>
              <w:t>&lt;1%</w:t>
            </w:r>
          </w:p>
        </w:tc>
      </w:tr>
      <w:tr w:rsidR="00784B9E" w14:paraId="7CF68053" w14:textId="77777777">
        <w:trPr>
          <w:jc w:val="center"/>
        </w:trPr>
        <w:tc>
          <w:tcPr>
            <w:tcW w:w="3264" w:type="dxa"/>
            <w:vAlign w:val="center"/>
          </w:tcPr>
          <w:p w14:paraId="43BD6E74" w14:textId="77777777" w:rsidR="00784B9E" w:rsidRDefault="00000000">
            <w:r>
              <w:rPr>
                <w:sz w:val="20"/>
              </w:rPr>
              <w:t>VISpm</w:t>
            </w:r>
          </w:p>
        </w:tc>
        <w:tc>
          <w:tcPr>
            <w:tcW w:w="3264" w:type="dxa"/>
            <w:vAlign w:val="center"/>
          </w:tcPr>
          <w:p w14:paraId="55433893" w14:textId="77777777" w:rsidR="00784B9E" w:rsidRDefault="00000000">
            <w:r>
              <w:rPr>
                <w:sz w:val="20"/>
              </w:rPr>
              <w:t>91.46%</w:t>
            </w:r>
          </w:p>
        </w:tc>
        <w:tc>
          <w:tcPr>
            <w:tcW w:w="3264" w:type="dxa"/>
            <w:vAlign w:val="center"/>
          </w:tcPr>
          <w:p w14:paraId="0EDE307A" w14:textId="77777777" w:rsidR="00784B9E" w:rsidRDefault="00000000">
            <w:r>
              <w:rPr>
                <w:sz w:val="20"/>
              </w:rPr>
              <w:t>3.64%</w:t>
            </w:r>
          </w:p>
        </w:tc>
      </w:tr>
    </w:tbl>
    <w:p w14:paraId="17A5DF59" w14:textId="77777777" w:rsidR="00784B9E" w:rsidRDefault="00000000">
      <w:pPr>
        <w:spacing w:after="80" w:line="252" w:lineRule="auto"/>
      </w:pPr>
      <w:r>
        <w:t>After matching the population size, VISl and VISpm remained highly accurate, at approximately 90.6% and 91.5%, respectively, while VISp decreased to approximately 82.9%. The result suggests stronger population-level separability in VISl and VISpm than VISp for this session.</w:t>
      </w:r>
    </w:p>
    <w:p w14:paraId="51762216" w14:textId="77777777" w:rsidR="00784B9E" w:rsidRDefault="00000000">
      <w:pPr>
        <w:pStyle w:val="Heading1"/>
        <w:spacing w:after="80" w:line="252" w:lineRule="auto"/>
      </w:pPr>
      <w:r>
        <w:rPr>
          <w:rFonts w:ascii="Arial" w:hAnsi="Arial"/>
        </w:rPr>
        <w:t>4. Six-orientation decoding</w:t>
      </w:r>
    </w:p>
    <w:p w14:paraId="3C068E25" w14:textId="77777777" w:rsidR="00784B9E" w:rsidRDefault="00000000">
      <w:pPr>
        <w:spacing w:after="80" w:line="252" w:lineRule="auto"/>
      </w:pPr>
      <w:r>
        <w:t xml:space="preserve">The six-class task was substantially more difficult than binary decoding, but performance remained well above chance. Using neurons from all three areas, the mean accuracy was </w:t>
      </w:r>
      <w:r>
        <w:rPr>
          <w:b/>
        </w:rPr>
        <w:t>66.64%</w:t>
      </w:r>
      <w:r>
        <w:t xml:space="preserve">, compared with a chance level of </w:t>
      </w:r>
      <w:r>
        <w:rPr>
          <w:b/>
        </w:rPr>
        <w:t>16.67%</w:t>
      </w:r>
      <w:r>
        <w:t>. The standard deviation across cross-validation folds was 3.36%.</w:t>
      </w:r>
    </w:p>
    <w:p w14:paraId="6287E759" w14:textId="77777777" w:rsidR="00784B9E" w:rsidRDefault="00000000">
      <w:pPr>
        <w:pStyle w:val="Heading2"/>
        <w:spacing w:after="80" w:line="252" w:lineRule="auto"/>
      </w:pPr>
      <w:r>
        <w:rPr>
          <w:rFonts w:ascii="Arial" w:hAnsi="Arial"/>
        </w:rPr>
        <w:t>4.1 Each area using all available neurons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784B9E" w14:paraId="3152A454" w14:textId="77777777">
        <w:trPr>
          <w:jc w:val="center"/>
        </w:trPr>
        <w:tc>
          <w:tcPr>
            <w:tcW w:w="3264" w:type="dxa"/>
            <w:vAlign w:val="center"/>
          </w:tcPr>
          <w:p w14:paraId="12C32D3B" w14:textId="77777777" w:rsidR="00784B9E" w:rsidRDefault="00000000">
            <w:r>
              <w:rPr>
                <w:b/>
                <w:sz w:val="20"/>
              </w:rPr>
              <w:t>Area</w:t>
            </w:r>
          </w:p>
        </w:tc>
        <w:tc>
          <w:tcPr>
            <w:tcW w:w="3264" w:type="dxa"/>
            <w:vAlign w:val="center"/>
          </w:tcPr>
          <w:p w14:paraId="64AAF97D" w14:textId="77777777" w:rsidR="00784B9E" w:rsidRDefault="00000000">
            <w:r>
              <w:rPr>
                <w:b/>
                <w:sz w:val="20"/>
              </w:rPr>
              <w:t>Neurons</w:t>
            </w:r>
          </w:p>
        </w:tc>
        <w:tc>
          <w:tcPr>
            <w:tcW w:w="3264" w:type="dxa"/>
            <w:vAlign w:val="center"/>
          </w:tcPr>
          <w:p w14:paraId="0E320E13" w14:textId="77777777" w:rsidR="00784B9E" w:rsidRDefault="00000000">
            <w:r>
              <w:rPr>
                <w:b/>
                <w:sz w:val="20"/>
              </w:rPr>
              <w:t>Accuracy</w:t>
            </w:r>
          </w:p>
        </w:tc>
      </w:tr>
      <w:tr w:rsidR="00784B9E" w14:paraId="6515C67B" w14:textId="77777777">
        <w:trPr>
          <w:jc w:val="center"/>
        </w:trPr>
        <w:tc>
          <w:tcPr>
            <w:tcW w:w="3264" w:type="dxa"/>
            <w:vAlign w:val="center"/>
          </w:tcPr>
          <w:p w14:paraId="4A76F18C" w14:textId="77777777" w:rsidR="00784B9E" w:rsidRDefault="00000000">
            <w:r>
              <w:rPr>
                <w:sz w:val="20"/>
              </w:rPr>
              <w:lastRenderedPageBreak/>
              <w:t>VISp</w:t>
            </w:r>
          </w:p>
        </w:tc>
        <w:tc>
          <w:tcPr>
            <w:tcW w:w="3264" w:type="dxa"/>
            <w:vAlign w:val="center"/>
          </w:tcPr>
          <w:p w14:paraId="501D6931" w14:textId="77777777" w:rsidR="00784B9E" w:rsidRDefault="00000000">
            <w:r>
              <w:rPr>
                <w:sz w:val="20"/>
              </w:rPr>
              <w:t>110</w:t>
            </w:r>
          </w:p>
        </w:tc>
        <w:tc>
          <w:tcPr>
            <w:tcW w:w="3264" w:type="dxa"/>
            <w:vAlign w:val="center"/>
          </w:tcPr>
          <w:p w14:paraId="135954C5" w14:textId="77777777" w:rsidR="00784B9E" w:rsidRDefault="00000000">
            <w:r>
              <w:rPr>
                <w:sz w:val="20"/>
              </w:rPr>
              <w:t>60.64%</w:t>
            </w:r>
          </w:p>
        </w:tc>
      </w:tr>
      <w:tr w:rsidR="00784B9E" w14:paraId="582D122C" w14:textId="77777777">
        <w:trPr>
          <w:jc w:val="center"/>
        </w:trPr>
        <w:tc>
          <w:tcPr>
            <w:tcW w:w="3264" w:type="dxa"/>
            <w:vAlign w:val="center"/>
          </w:tcPr>
          <w:p w14:paraId="0F6C5060" w14:textId="77777777" w:rsidR="00784B9E" w:rsidRDefault="00000000">
            <w:r>
              <w:rPr>
                <w:sz w:val="20"/>
              </w:rPr>
              <w:t>VISl</w:t>
            </w:r>
          </w:p>
        </w:tc>
        <w:tc>
          <w:tcPr>
            <w:tcW w:w="3264" w:type="dxa"/>
            <w:vAlign w:val="center"/>
          </w:tcPr>
          <w:p w14:paraId="495437BC" w14:textId="77777777" w:rsidR="00784B9E" w:rsidRDefault="00000000">
            <w:r>
              <w:rPr>
                <w:sz w:val="20"/>
              </w:rPr>
              <w:t>40</w:t>
            </w:r>
          </w:p>
        </w:tc>
        <w:tc>
          <w:tcPr>
            <w:tcW w:w="3264" w:type="dxa"/>
            <w:vAlign w:val="center"/>
          </w:tcPr>
          <w:p w14:paraId="3EEAFE5D" w14:textId="77777777" w:rsidR="00784B9E" w:rsidRDefault="00000000">
            <w:r>
              <w:rPr>
                <w:sz w:val="20"/>
              </w:rPr>
              <w:t>53.85%</w:t>
            </w:r>
          </w:p>
        </w:tc>
      </w:tr>
      <w:tr w:rsidR="00784B9E" w14:paraId="63C40ADE" w14:textId="77777777">
        <w:trPr>
          <w:jc w:val="center"/>
        </w:trPr>
        <w:tc>
          <w:tcPr>
            <w:tcW w:w="3264" w:type="dxa"/>
            <w:vAlign w:val="center"/>
          </w:tcPr>
          <w:p w14:paraId="541EFA66" w14:textId="77777777" w:rsidR="00784B9E" w:rsidRDefault="00000000">
            <w:r>
              <w:rPr>
                <w:sz w:val="20"/>
              </w:rPr>
              <w:t>VISpm</w:t>
            </w:r>
          </w:p>
        </w:tc>
        <w:tc>
          <w:tcPr>
            <w:tcW w:w="3264" w:type="dxa"/>
            <w:vAlign w:val="center"/>
          </w:tcPr>
          <w:p w14:paraId="437901C8" w14:textId="77777777" w:rsidR="00784B9E" w:rsidRDefault="00000000">
            <w:r>
              <w:rPr>
                <w:sz w:val="20"/>
              </w:rPr>
              <w:t>66</w:t>
            </w:r>
          </w:p>
        </w:tc>
        <w:tc>
          <w:tcPr>
            <w:tcW w:w="3264" w:type="dxa"/>
            <w:vAlign w:val="center"/>
          </w:tcPr>
          <w:p w14:paraId="1446309F" w14:textId="77777777" w:rsidR="00784B9E" w:rsidRDefault="00000000">
            <w:r>
              <w:rPr>
                <w:sz w:val="20"/>
              </w:rPr>
              <w:t>63.04%</w:t>
            </w:r>
          </w:p>
        </w:tc>
      </w:tr>
    </w:tbl>
    <w:p w14:paraId="72E1CEF2" w14:textId="77777777" w:rsidR="00784B9E" w:rsidRDefault="00000000">
      <w:pPr>
        <w:spacing w:after="80" w:line="252" w:lineRule="auto"/>
      </w:pPr>
      <w:r>
        <w:t>Using all available neurons, VISpm showed the highest six-orientation accuracy, followed by VISp and VISl. Because neuron counts differed substantially, the matched-neuron analysis provides the fairer comparison.</w:t>
      </w:r>
    </w:p>
    <w:p w14:paraId="5BCD141F" w14:textId="77777777" w:rsidR="00784B9E" w:rsidRDefault="00000000">
      <w:pPr>
        <w:pStyle w:val="Heading2"/>
        <w:spacing w:after="80" w:line="252" w:lineRule="auto"/>
      </w:pPr>
      <w:r>
        <w:rPr>
          <w:rFonts w:ascii="Arial" w:hAnsi="Arial"/>
        </w:rPr>
        <w:t>4.2 Fair comparison using 40 neurons per area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84B9E" w14:paraId="32BD87DB" w14:textId="77777777">
        <w:trPr>
          <w:jc w:val="center"/>
        </w:trPr>
        <w:tc>
          <w:tcPr>
            <w:tcW w:w="4896" w:type="dxa"/>
            <w:vAlign w:val="center"/>
          </w:tcPr>
          <w:p w14:paraId="6589CCFD" w14:textId="77777777" w:rsidR="00784B9E" w:rsidRDefault="00000000">
            <w:r>
              <w:rPr>
                <w:b/>
                <w:sz w:val="20"/>
              </w:rPr>
              <w:t>Area</w:t>
            </w:r>
          </w:p>
        </w:tc>
        <w:tc>
          <w:tcPr>
            <w:tcW w:w="4896" w:type="dxa"/>
            <w:vAlign w:val="center"/>
          </w:tcPr>
          <w:p w14:paraId="7289FD0B" w14:textId="77777777" w:rsidR="00784B9E" w:rsidRDefault="00000000">
            <w:r>
              <w:rPr>
                <w:b/>
                <w:sz w:val="20"/>
              </w:rPr>
              <w:t>Matched-neuron accuracy</w:t>
            </w:r>
          </w:p>
        </w:tc>
      </w:tr>
      <w:tr w:rsidR="00784B9E" w14:paraId="01D9959F" w14:textId="77777777">
        <w:trPr>
          <w:jc w:val="center"/>
        </w:trPr>
        <w:tc>
          <w:tcPr>
            <w:tcW w:w="4896" w:type="dxa"/>
            <w:vAlign w:val="center"/>
          </w:tcPr>
          <w:p w14:paraId="2C11B5F3" w14:textId="77777777" w:rsidR="00784B9E" w:rsidRDefault="00000000">
            <w:r>
              <w:rPr>
                <w:sz w:val="20"/>
              </w:rPr>
              <w:t>VISp</w:t>
            </w:r>
          </w:p>
        </w:tc>
        <w:tc>
          <w:tcPr>
            <w:tcW w:w="4896" w:type="dxa"/>
            <w:vAlign w:val="center"/>
          </w:tcPr>
          <w:p w14:paraId="3E7DF981" w14:textId="77777777" w:rsidR="00784B9E" w:rsidRDefault="00000000">
            <w:r>
              <w:rPr>
                <w:sz w:val="20"/>
              </w:rPr>
              <w:t>49.10%</w:t>
            </w:r>
          </w:p>
        </w:tc>
      </w:tr>
      <w:tr w:rsidR="00784B9E" w14:paraId="58A33EFF" w14:textId="77777777">
        <w:trPr>
          <w:jc w:val="center"/>
        </w:trPr>
        <w:tc>
          <w:tcPr>
            <w:tcW w:w="4896" w:type="dxa"/>
            <w:vAlign w:val="center"/>
          </w:tcPr>
          <w:p w14:paraId="134D9A61" w14:textId="77777777" w:rsidR="00784B9E" w:rsidRDefault="00000000">
            <w:r>
              <w:rPr>
                <w:sz w:val="20"/>
              </w:rPr>
              <w:t>VISl</w:t>
            </w:r>
          </w:p>
        </w:tc>
        <w:tc>
          <w:tcPr>
            <w:tcW w:w="4896" w:type="dxa"/>
            <w:vAlign w:val="center"/>
          </w:tcPr>
          <w:p w14:paraId="232835C3" w14:textId="77777777" w:rsidR="00784B9E" w:rsidRDefault="00000000">
            <w:r>
              <w:rPr>
                <w:sz w:val="20"/>
              </w:rPr>
              <w:t>53.85%</w:t>
            </w:r>
          </w:p>
        </w:tc>
      </w:tr>
      <w:tr w:rsidR="00784B9E" w14:paraId="3CE15609" w14:textId="77777777">
        <w:trPr>
          <w:jc w:val="center"/>
        </w:trPr>
        <w:tc>
          <w:tcPr>
            <w:tcW w:w="4896" w:type="dxa"/>
            <w:vAlign w:val="center"/>
          </w:tcPr>
          <w:p w14:paraId="09B4AF95" w14:textId="77777777" w:rsidR="00784B9E" w:rsidRDefault="00000000">
            <w:r>
              <w:rPr>
                <w:sz w:val="20"/>
              </w:rPr>
              <w:t>VISpm</w:t>
            </w:r>
          </w:p>
        </w:tc>
        <w:tc>
          <w:tcPr>
            <w:tcW w:w="4896" w:type="dxa"/>
            <w:vAlign w:val="center"/>
          </w:tcPr>
          <w:p w14:paraId="73C08CAA" w14:textId="77777777" w:rsidR="00784B9E" w:rsidRDefault="00000000">
            <w:r>
              <w:rPr>
                <w:sz w:val="20"/>
              </w:rPr>
              <w:t>56.52%</w:t>
            </w:r>
          </w:p>
        </w:tc>
      </w:tr>
    </w:tbl>
    <w:p w14:paraId="2BAE6FE9" w14:textId="77777777" w:rsidR="00784B9E" w:rsidRDefault="00000000">
      <w:pPr>
        <w:spacing w:after="80" w:line="252" w:lineRule="auto"/>
      </w:pPr>
      <w:r>
        <w:t>With exactly 40 neurons per area, VISpm achieved the best performance, followed by VISl and VISp. All three areas remained substantially above the 16.67% chance level, demonstrating that each area contained information about stimulus orientation.</w:t>
      </w:r>
    </w:p>
    <w:p w14:paraId="5E0812E9" w14:textId="77777777" w:rsidR="00784B9E" w:rsidRDefault="00000000">
      <w:pPr>
        <w:pStyle w:val="Heading1"/>
        <w:spacing w:after="80" w:line="252" w:lineRule="auto"/>
      </w:pPr>
      <w:r>
        <w:rPr>
          <w:rFonts w:ascii="Arial" w:hAnsi="Arial"/>
        </w:rPr>
        <w:t>5. Summary</w:t>
      </w:r>
    </w:p>
    <w:p w14:paraId="76CA699B" w14:textId="230B72D9" w:rsidR="00784B9E" w:rsidRDefault="00000000">
      <w:pPr>
        <w:spacing w:after="80" w:line="252" w:lineRule="auto"/>
      </w:pPr>
      <w:r>
        <w:t>Binary 0° versus 90° decoding was particularly strong, reaching 96.45% when neurons across the three visual areas were combined. Six-orientation decoding was more challenging but remained clearly above chance at 66.64%. After controlling for neuron count, VISpm showed the strongest performance in both tasks, with VISl also performing strongly. These findings support the presence of robust orientation-related population information across VISp, VISl and VISpm in this recording session.</w:t>
      </w:r>
    </w:p>
    <w:p w14:paraId="4E424DE7" w14:textId="77777777" w:rsidR="00784B9E" w:rsidRDefault="00000000">
      <w:pPr>
        <w:spacing w:after="80" w:line="252" w:lineRule="auto"/>
      </w:pPr>
      <w:r>
        <w:rPr>
          <w:b/>
        </w:rPr>
        <w:t xml:space="preserve">Model note: </w:t>
      </w:r>
      <w:r>
        <w:t>Although this analysis was previously labelled “linear regression,” the notebook uses logistic regression, which is a linear classification model appropriate for categorical orientation decoding.</w:t>
      </w:r>
    </w:p>
    <w:sectPr w:rsidR="00784B9E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562022">
    <w:abstractNumId w:val="8"/>
  </w:num>
  <w:num w:numId="2" w16cid:durableId="1742554332">
    <w:abstractNumId w:val="6"/>
  </w:num>
  <w:num w:numId="3" w16cid:durableId="64182863">
    <w:abstractNumId w:val="5"/>
  </w:num>
  <w:num w:numId="4" w16cid:durableId="1255169209">
    <w:abstractNumId w:val="4"/>
  </w:num>
  <w:num w:numId="5" w16cid:durableId="1445494727">
    <w:abstractNumId w:val="7"/>
  </w:num>
  <w:num w:numId="6" w16cid:durableId="1376202020">
    <w:abstractNumId w:val="3"/>
  </w:num>
  <w:num w:numId="7" w16cid:durableId="1812942135">
    <w:abstractNumId w:val="2"/>
  </w:num>
  <w:num w:numId="8" w16cid:durableId="507522516">
    <w:abstractNumId w:val="1"/>
  </w:num>
  <w:num w:numId="9" w16cid:durableId="5893951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F1A"/>
    <w:rsid w:val="00784B9E"/>
    <w:rsid w:val="00AA1D8D"/>
    <w:rsid w:val="00B47730"/>
    <w:rsid w:val="00CB0664"/>
    <w:rsid w:val="00E45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C49EF"/>
  <w14:defaultImageDpi w14:val="300"/>
  <w15:docId w15:val="{7A4C8090-EFA1-4B4B-B626-3E040CF0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Li, Yunjia R</cp:lastModifiedBy>
  <cp:revision>2</cp:revision>
  <dcterms:created xsi:type="dcterms:W3CDTF">2013-12-23T23:15:00Z</dcterms:created>
  <dcterms:modified xsi:type="dcterms:W3CDTF">2026-08-11T02:07:00Z</dcterms:modified>
  <cp:category/>
</cp:coreProperties>
</file>