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ind w:firstLine="0"/>
        <w:jc w:val="center"/>
      </w:pPr>
      <w:r>
        <w:rPr>
          <w:rFonts w:ascii="Times New Roman" w:hAnsi="Times New Roman" w:eastAsia="Times New Roman"/>
          <w:b w:val="0"/>
          <w:sz w:val="26"/>
        </w:rPr>
        <w:t>Федеральное государственное бюджетное образовательное учреждение высшего образования</w:t>
      </w:r>
    </w:p>
    <w:p>
      <w:pPr>
        <w:spacing w:after="0"/>
        <w:ind w:firstLine="0"/>
        <w:jc w:val="center"/>
      </w:pPr>
      <w:r>
        <w:rPr>
          <w:rFonts w:ascii="Times New Roman" w:hAnsi="Times New Roman" w:eastAsia="Times New Roman"/>
          <w:b w:val="0"/>
          <w:sz w:val="26"/>
        </w:rPr>
        <w:t>«Казанский национальный исследовательский технический университет им. А.Н. Туполева-КАИ»</w:t>
      </w:r>
    </w:p>
    <w:p>
      <w:pPr>
        <w:spacing w:after="120"/>
        <w:ind w:firstLine="0"/>
        <w:jc w:val="center"/>
      </w:pPr>
      <w:r>
        <w:rPr>
          <w:rFonts w:ascii="Times New Roman" w:hAnsi="Times New Roman" w:eastAsia="Times New Roman"/>
          <w:b w:val="0"/>
          <w:sz w:val="26"/>
        </w:rPr>
        <w:t>(КНИТУ-КАИ)</w:t>
      </w:r>
    </w:p>
    <w:p>
      <w:pPr>
        <w:spacing w:after="0"/>
        <w:ind w:firstLine="0"/>
        <w:jc w:val="center"/>
      </w:pPr>
      <w:r>
        <w:rPr>
          <w:rFonts w:ascii="Times New Roman" w:hAnsi="Times New Roman" w:eastAsia="Times New Roman"/>
          <w:b w:val="0"/>
          <w:sz w:val="26"/>
        </w:rPr>
        <w:t>Институт компьютерных технологий и защиты информации</w:t>
      </w:r>
    </w:p>
    <w:p>
      <w:pPr>
        <w:spacing w:after="0"/>
        <w:ind w:firstLine="0"/>
        <w:jc w:val="center"/>
      </w:pPr>
      <w:r>
        <w:rPr>
          <w:rFonts w:ascii="Times New Roman" w:hAnsi="Times New Roman" w:eastAsia="Times New Roman"/>
          <w:b w:val="0"/>
          <w:sz w:val="26"/>
        </w:rPr>
        <w:t>Кафедра систем информационной безопасности</w:t>
      </w:r>
    </w:p>
    <w:p/>
    <w:p/>
    <w:p>
      <w:pPr>
        <w:spacing w:after="200"/>
        <w:ind w:firstLine="0"/>
        <w:jc w:val="center"/>
      </w:pPr>
      <w:r>
        <w:rPr>
          <w:rFonts w:ascii="Times New Roman" w:hAnsi="Times New Roman" w:eastAsia="Times New Roman"/>
          <w:b/>
          <w:sz w:val="36"/>
        </w:rPr>
        <w:t>О Т Ч Е Т</w:t>
      </w:r>
    </w:p>
    <w:p>
      <w:pPr>
        <w:spacing w:after="0"/>
        <w:ind w:firstLine="0"/>
        <w:jc w:val="center"/>
      </w:pPr>
      <w:r>
        <w:rPr>
          <w:rFonts w:ascii="Times New Roman" w:hAnsi="Times New Roman" w:eastAsia="Times New Roman"/>
          <w:b/>
          <w:sz w:val="32"/>
        </w:rPr>
        <w:t>по результатам научно-исследовательской работы</w:t>
      </w:r>
    </w:p>
    <w:p>
      <w:pPr>
        <w:spacing w:after="0"/>
        <w:ind w:firstLine="0"/>
        <w:jc w:val="center"/>
      </w:pPr>
      <w:r>
        <w:rPr>
          <w:rFonts w:ascii="Times New Roman" w:hAnsi="Times New Roman" w:eastAsia="Times New Roman"/>
          <w:b w:val="0"/>
          <w:sz w:val="30"/>
        </w:rPr>
        <w:t>рабочая редакция магистерской диссертации</w:t>
      </w:r>
    </w:p>
    <w:p/>
    <w:p>
      <w:pPr>
        <w:spacing w:after="0"/>
        <w:ind w:firstLine="0"/>
        <w:jc w:val="center"/>
      </w:pPr>
      <w:r>
        <w:rPr>
          <w:rFonts w:ascii="Times New Roman" w:hAnsi="Times New Roman" w:eastAsia="Times New Roman"/>
          <w:b/>
          <w:sz w:val="28"/>
        </w:rPr>
        <w:t>Тема: «Контекстно-зависимое распознавание жестов по временным последовательностям landmarks для mid-air взаимодействия в дополненной реальности»</w:t>
      </w:r>
    </w:p>
    <w:p/>
    <w:p/>
    <w:p/>
    <w:p/>
    <w:p>
      <w:pPr>
        <w:ind w:firstLine="4535"/>
        <w:jc w:val="left"/>
      </w:pPr>
      <w:r>
        <w:rPr>
          <w:rFonts w:ascii="Times New Roman" w:hAnsi="Times New Roman" w:eastAsia="Times New Roman"/>
          <w:sz w:val="28"/>
        </w:rPr>
        <w:t>Выполнил: студент гр. 4267 Южаков М.В.</w:t>
        <w:br/>
      </w:r>
      <w:r>
        <w:rPr>
          <w:rFonts w:ascii="Times New Roman" w:hAnsi="Times New Roman" w:eastAsia="Times New Roman"/>
          <w:sz w:val="28"/>
        </w:rPr>
        <w:t>Руководитель практики: Аникин И.В.</w:t>
        <w:br/>
      </w:r>
      <w:r>
        <w:rPr>
          <w:rFonts w:ascii="Times New Roman" w:hAnsi="Times New Roman" w:eastAsia="Times New Roman"/>
          <w:sz w:val="28"/>
        </w:rPr>
        <w:t>Срез проекта: 13.05.2026</w:t>
        <w:br/>
      </w:r>
      <w:r>
        <w:rPr>
          <w:rFonts w:ascii="Times New Roman" w:hAnsi="Times New Roman" w:eastAsia="Times New Roman"/>
          <w:sz w:val="28"/>
        </w:rPr>
        <w:t>Оценка ______________</w:t>
        <w:br/>
      </w:r>
    </w:p>
    <w:p>
      <w:pPr>
        <w:spacing w:after="0"/>
        <w:ind w:firstLine="0"/>
        <w:jc w:val="center"/>
      </w:pPr>
      <w:r>
        <w:rPr>
          <w:rFonts w:ascii="Times New Roman" w:hAnsi="Times New Roman" w:eastAsia="Times New Roman"/>
          <w:b w:val="0"/>
          <w:sz w:val="28"/>
        </w:rPr>
        <w:t>Казань - 2026</w:t>
      </w:r>
    </w:p>
    <w:p>
      <w:r>
        <w:br w:type="page"/>
      </w:r>
    </w:p>
    <w:p>
      <w:pPr>
        <w:pStyle w:val="Heading1"/>
        <w:ind w:firstLine="0"/>
        <w:jc w:val="center"/>
      </w:pPr>
      <w:r>
        <w:t>СОДЕРЖАНИЕ</w:t>
      </w:r>
    </w:p>
    <w:p>
      <w:pPr>
        <w:ind w:firstLine="0" w:left="0"/>
      </w:pPr>
      <w:r>
        <w:rPr>
          <w:rFonts w:ascii="Times New Roman" w:hAnsi="Times New Roman" w:eastAsia="Times New Roman"/>
          <w:sz w:val="28"/>
        </w:rPr>
        <w:t>Введение</w:t>
      </w:r>
      <w:r>
        <w:rPr>
          <w:rFonts w:ascii="Times New Roman" w:hAnsi="Times New Roman" w:eastAsia="Times New Roman"/>
          <w:sz w:val="28"/>
        </w:rPr>
        <w:t xml:space="preserve"> ...................................................................... </w:t>
      </w:r>
      <w:r>
        <w:rPr>
          <w:rFonts w:ascii="Times New Roman" w:hAnsi="Times New Roman" w:eastAsia="Times New Roman"/>
          <w:sz w:val="28"/>
        </w:rPr>
        <w:t>3</w:t>
      </w:r>
    </w:p>
    <w:p>
      <w:pPr>
        <w:ind w:firstLine="0" w:left="0"/>
      </w:pPr>
      <w:r>
        <w:rPr>
          <w:rFonts w:ascii="Times New Roman" w:hAnsi="Times New Roman" w:eastAsia="Times New Roman"/>
          <w:sz w:val="28"/>
        </w:rPr>
        <w:t>1. Анализ предметной области</w:t>
      </w:r>
      <w:r>
        <w:rPr>
          <w:rFonts w:ascii="Times New Roman" w:hAnsi="Times New Roman" w:eastAsia="Times New Roman"/>
          <w:sz w:val="28"/>
        </w:rPr>
        <w:t xml:space="preserve"> .................................................. </w:t>
      </w:r>
      <w:r>
        <w:rPr>
          <w:rFonts w:ascii="Times New Roman" w:hAnsi="Times New Roman" w:eastAsia="Times New Roman"/>
          <w:sz w:val="28"/>
        </w:rPr>
        <w:t>5</w:t>
      </w:r>
    </w:p>
    <w:p>
      <w:pPr>
        <w:ind w:firstLine="0" w:left="0"/>
      </w:pPr>
      <w:r>
        <w:rPr>
          <w:rFonts w:ascii="Times New Roman" w:hAnsi="Times New Roman" w:eastAsia="Times New Roman"/>
          <w:sz w:val="28"/>
        </w:rPr>
        <w:t>1.1. Mid-air взаимодействие и классификация жестов</w:t>
      </w:r>
      <w:r>
        <w:rPr>
          <w:rFonts w:ascii="Times New Roman" w:hAnsi="Times New Roman" w:eastAsia="Times New Roman"/>
          <w:sz w:val="28"/>
        </w:rPr>
        <w:t xml:space="preserve"> ............................ </w:t>
      </w:r>
      <w:r>
        <w:rPr>
          <w:rFonts w:ascii="Times New Roman" w:hAnsi="Times New Roman" w:eastAsia="Times New Roman"/>
          <w:sz w:val="28"/>
        </w:rPr>
        <w:t>5</w:t>
      </w:r>
    </w:p>
    <w:p>
      <w:pPr>
        <w:ind w:firstLine="0" w:left="0"/>
      </w:pPr>
      <w:r>
        <w:rPr>
          <w:rFonts w:ascii="Times New Roman" w:hAnsi="Times New Roman" w:eastAsia="Times New Roman"/>
          <w:sz w:val="28"/>
        </w:rPr>
        <w:t>1.2. Распознавание жестов по landmarks</w:t>
      </w:r>
      <w:r>
        <w:rPr>
          <w:rFonts w:ascii="Times New Roman" w:hAnsi="Times New Roman" w:eastAsia="Times New Roman"/>
          <w:sz w:val="28"/>
        </w:rPr>
        <w:t xml:space="preserve"> ........................................ </w:t>
      </w:r>
      <w:r>
        <w:rPr>
          <w:rFonts w:ascii="Times New Roman" w:hAnsi="Times New Roman" w:eastAsia="Times New Roman"/>
          <w:sz w:val="28"/>
        </w:rPr>
        <w:t>7</w:t>
      </w:r>
    </w:p>
    <w:p>
      <w:pPr>
        <w:ind w:firstLine="0" w:left="0"/>
      </w:pPr>
      <w:r>
        <w:rPr>
          <w:rFonts w:ascii="Times New Roman" w:hAnsi="Times New Roman" w:eastAsia="Times New Roman"/>
          <w:sz w:val="28"/>
        </w:rPr>
        <w:t>1.3. Актуализация литературы</w:t>
      </w:r>
      <w:r>
        <w:rPr>
          <w:rFonts w:ascii="Times New Roman" w:hAnsi="Times New Roman" w:eastAsia="Times New Roman"/>
          <w:sz w:val="28"/>
        </w:rPr>
        <w:t xml:space="preserve"> .................................................. </w:t>
      </w:r>
      <w:r>
        <w:rPr>
          <w:rFonts w:ascii="Times New Roman" w:hAnsi="Times New Roman" w:eastAsia="Times New Roman"/>
          <w:sz w:val="28"/>
        </w:rPr>
        <w:t>8</w:t>
      </w:r>
    </w:p>
    <w:p>
      <w:pPr>
        <w:ind w:firstLine="0" w:left="0"/>
      </w:pPr>
      <w:r>
        <w:rPr>
          <w:rFonts w:ascii="Times New Roman" w:hAnsi="Times New Roman" w:eastAsia="Times New Roman"/>
          <w:sz w:val="28"/>
        </w:rPr>
        <w:t>1.4. Выводы</w:t>
      </w:r>
      <w:r>
        <w:rPr>
          <w:rFonts w:ascii="Times New Roman" w:hAnsi="Times New Roman" w:eastAsia="Times New Roman"/>
          <w:sz w:val="28"/>
        </w:rPr>
        <w:t xml:space="preserve"> ................................................................... </w:t>
      </w:r>
      <w:r>
        <w:rPr>
          <w:rFonts w:ascii="Times New Roman" w:hAnsi="Times New Roman" w:eastAsia="Times New Roman"/>
          <w:sz w:val="28"/>
        </w:rPr>
        <w:t>9</w:t>
      </w:r>
    </w:p>
    <w:p>
      <w:pPr>
        <w:ind w:firstLine="0" w:left="0"/>
      </w:pPr>
      <w:r>
        <w:rPr>
          <w:rFonts w:ascii="Times New Roman" w:hAnsi="Times New Roman" w:eastAsia="Times New Roman"/>
          <w:sz w:val="28"/>
        </w:rPr>
        <w:t>2. Метод и архитектура текущего проекта</w:t>
      </w:r>
      <w:r>
        <w:rPr>
          <w:rFonts w:ascii="Times New Roman" w:hAnsi="Times New Roman" w:eastAsia="Times New Roman"/>
          <w:sz w:val="28"/>
        </w:rPr>
        <w:t xml:space="preserve"> ....................................... </w:t>
      </w:r>
      <w:r>
        <w:rPr>
          <w:rFonts w:ascii="Times New Roman" w:hAnsi="Times New Roman" w:eastAsia="Times New Roman"/>
          <w:sz w:val="28"/>
        </w:rPr>
        <w:t>9</w:t>
      </w:r>
    </w:p>
    <w:p>
      <w:pPr>
        <w:ind w:firstLine="0" w:left="0"/>
      </w:pPr>
      <w:r>
        <w:rPr>
          <w:rFonts w:ascii="Times New Roman" w:hAnsi="Times New Roman" w:eastAsia="Times New Roman"/>
          <w:sz w:val="28"/>
        </w:rPr>
        <w:t>2.1. Постановка задачи и словарь жестов</w:t>
      </w:r>
      <w:r>
        <w:rPr>
          <w:rFonts w:ascii="Times New Roman" w:hAnsi="Times New Roman" w:eastAsia="Times New Roman"/>
          <w:sz w:val="28"/>
        </w:rPr>
        <w:t xml:space="preserve"> ....................................... </w:t>
      </w:r>
      <w:r>
        <w:rPr>
          <w:rFonts w:ascii="Times New Roman" w:hAnsi="Times New Roman" w:eastAsia="Times New Roman"/>
          <w:sz w:val="28"/>
        </w:rPr>
        <w:t>9</w:t>
      </w:r>
    </w:p>
    <w:p>
      <w:pPr>
        <w:ind w:firstLine="0" w:left="0"/>
      </w:pPr>
      <w:r>
        <w:rPr>
          <w:rFonts w:ascii="Times New Roman" w:hAnsi="Times New Roman" w:eastAsia="Times New Roman"/>
          <w:sz w:val="28"/>
        </w:rPr>
        <w:t>2.2. Данные, manifest и представление tensors</w:t>
      </w:r>
      <w:r>
        <w:rPr>
          <w:rFonts w:ascii="Times New Roman" w:hAnsi="Times New Roman" w:eastAsia="Times New Roman"/>
          <w:sz w:val="28"/>
        </w:rPr>
        <w:t xml:space="preserve"> ................................. </w:t>
      </w:r>
      <w:r>
        <w:rPr>
          <w:rFonts w:ascii="Times New Roman" w:hAnsi="Times New Roman" w:eastAsia="Times New Roman"/>
          <w:sz w:val="28"/>
        </w:rPr>
        <w:t>10</w:t>
      </w:r>
    </w:p>
    <w:p>
      <w:pPr>
        <w:ind w:firstLine="0" w:left="0"/>
      </w:pPr>
      <w:r>
        <w:rPr>
          <w:rFonts w:ascii="Times New Roman" w:hAnsi="Times New Roman" w:eastAsia="Times New Roman"/>
          <w:sz w:val="28"/>
        </w:rPr>
        <w:t>2.3. Модели C0, C1, C1-T и слой C2</w:t>
      </w:r>
      <w:r>
        <w:rPr>
          <w:rFonts w:ascii="Times New Roman" w:hAnsi="Times New Roman" w:eastAsia="Times New Roman"/>
          <w:sz w:val="28"/>
        </w:rPr>
        <w:t xml:space="preserve"> ............................................ </w:t>
      </w:r>
      <w:r>
        <w:rPr>
          <w:rFonts w:ascii="Times New Roman" w:hAnsi="Times New Roman" w:eastAsia="Times New Roman"/>
          <w:sz w:val="28"/>
        </w:rPr>
        <w:t>11</w:t>
      </w:r>
    </w:p>
    <w:p>
      <w:pPr>
        <w:ind w:firstLine="0" w:left="0"/>
      </w:pPr>
      <w:r>
        <w:rPr>
          <w:rFonts w:ascii="Times New Roman" w:hAnsi="Times New Roman" w:eastAsia="Times New Roman"/>
          <w:sz w:val="28"/>
        </w:rPr>
        <w:t>2.4. Программная архитектура</w:t>
      </w:r>
      <w:r>
        <w:rPr>
          <w:rFonts w:ascii="Times New Roman" w:hAnsi="Times New Roman" w:eastAsia="Times New Roman"/>
          <w:sz w:val="28"/>
        </w:rPr>
        <w:t xml:space="preserve"> .................................................. </w:t>
      </w:r>
      <w:r>
        <w:rPr>
          <w:rFonts w:ascii="Times New Roman" w:hAnsi="Times New Roman" w:eastAsia="Times New Roman"/>
          <w:sz w:val="28"/>
        </w:rPr>
        <w:t>12</w:t>
      </w:r>
    </w:p>
    <w:p>
      <w:pPr>
        <w:ind w:firstLine="0" w:left="0"/>
      </w:pPr>
      <w:r>
        <w:rPr>
          <w:rFonts w:ascii="Times New Roman" w:hAnsi="Times New Roman" w:eastAsia="Times New Roman"/>
          <w:sz w:val="28"/>
        </w:rPr>
        <w:t>2.5. Выводы</w:t>
      </w:r>
      <w:r>
        <w:rPr>
          <w:rFonts w:ascii="Times New Roman" w:hAnsi="Times New Roman" w:eastAsia="Times New Roman"/>
          <w:sz w:val="28"/>
        </w:rPr>
        <w:t xml:space="preserve"> ................................................................... </w:t>
      </w:r>
      <w:r>
        <w:rPr>
          <w:rFonts w:ascii="Times New Roman" w:hAnsi="Times New Roman" w:eastAsia="Times New Roman"/>
          <w:sz w:val="28"/>
        </w:rPr>
        <w:t>13</w:t>
      </w:r>
    </w:p>
    <w:p>
      <w:pPr>
        <w:ind w:firstLine="0" w:left="0"/>
      </w:pPr>
      <w:r>
        <w:rPr>
          <w:rFonts w:ascii="Times New Roman" w:hAnsi="Times New Roman" w:eastAsia="Times New Roman"/>
          <w:sz w:val="28"/>
        </w:rPr>
        <w:t>3. Экспериментальная часть, новизна и результаты</w:t>
      </w:r>
      <w:r>
        <w:rPr>
          <w:rFonts w:ascii="Times New Roman" w:hAnsi="Times New Roman" w:eastAsia="Times New Roman"/>
          <w:sz w:val="28"/>
        </w:rPr>
        <w:t xml:space="preserve"> .............................. </w:t>
      </w:r>
      <w:r>
        <w:rPr>
          <w:rFonts w:ascii="Times New Roman" w:hAnsi="Times New Roman" w:eastAsia="Times New Roman"/>
          <w:sz w:val="28"/>
        </w:rPr>
        <w:t>13</w:t>
      </w:r>
    </w:p>
    <w:p>
      <w:pPr>
        <w:ind w:firstLine="0" w:left="0"/>
      </w:pPr>
      <w:r>
        <w:rPr>
          <w:rFonts w:ascii="Times New Roman" w:hAnsi="Times New Roman" w:eastAsia="Times New Roman"/>
          <w:sz w:val="28"/>
        </w:rPr>
        <w:t>3.1. План экспериментов</w:t>
      </w:r>
      <w:r>
        <w:rPr>
          <w:rFonts w:ascii="Times New Roman" w:hAnsi="Times New Roman" w:eastAsia="Times New Roman"/>
          <w:sz w:val="28"/>
        </w:rPr>
        <w:t xml:space="preserve"> ....................................................... </w:t>
      </w:r>
      <w:r>
        <w:rPr>
          <w:rFonts w:ascii="Times New Roman" w:hAnsi="Times New Roman" w:eastAsia="Times New Roman"/>
          <w:sz w:val="28"/>
        </w:rPr>
        <w:t>13</w:t>
      </w:r>
    </w:p>
    <w:p>
      <w:pPr>
        <w:ind w:firstLine="0" w:left="0"/>
      </w:pPr>
      <w:r>
        <w:rPr>
          <w:rFonts w:ascii="Times New Roman" w:hAnsi="Times New Roman" w:eastAsia="Times New Roman"/>
          <w:sz w:val="28"/>
        </w:rPr>
        <w:t>3.2. Результаты распознавания</w:t>
      </w:r>
      <w:r>
        <w:rPr>
          <w:rFonts w:ascii="Times New Roman" w:hAnsi="Times New Roman" w:eastAsia="Times New Roman"/>
          <w:sz w:val="28"/>
        </w:rPr>
        <w:t xml:space="preserve"> ................................................. </w:t>
      </w:r>
      <w:r>
        <w:rPr>
          <w:rFonts w:ascii="Times New Roman" w:hAnsi="Times New Roman" w:eastAsia="Times New Roman"/>
          <w:sz w:val="28"/>
        </w:rPr>
        <w:t>14</w:t>
      </w:r>
    </w:p>
    <w:p>
      <w:pPr>
        <w:ind w:firstLine="0" w:left="0"/>
      </w:pPr>
      <w:r>
        <w:rPr>
          <w:rFonts w:ascii="Times New Roman" w:hAnsi="Times New Roman" w:eastAsia="Times New Roman"/>
          <w:sz w:val="28"/>
        </w:rPr>
        <w:t>3.3. Interaction layer и live-срез</w:t>
      </w:r>
      <w:r>
        <w:rPr>
          <w:rFonts w:ascii="Times New Roman" w:hAnsi="Times New Roman" w:eastAsia="Times New Roman"/>
          <w:sz w:val="28"/>
        </w:rPr>
        <w:t xml:space="preserve"> ............................................ </w:t>
      </w:r>
      <w:r>
        <w:rPr>
          <w:rFonts w:ascii="Times New Roman" w:hAnsi="Times New Roman" w:eastAsia="Times New Roman"/>
          <w:sz w:val="28"/>
        </w:rPr>
        <w:t>17</w:t>
      </w:r>
    </w:p>
    <w:p>
      <w:pPr>
        <w:ind w:firstLine="0" w:left="0"/>
      </w:pPr>
      <w:r>
        <w:rPr>
          <w:rFonts w:ascii="Times New Roman" w:hAnsi="Times New Roman" w:eastAsia="Times New Roman"/>
          <w:sz w:val="28"/>
        </w:rPr>
        <w:t>3.4. Научная новизна и ограничения</w:t>
      </w:r>
      <w:r>
        <w:rPr>
          <w:rFonts w:ascii="Times New Roman" w:hAnsi="Times New Roman" w:eastAsia="Times New Roman"/>
          <w:sz w:val="28"/>
        </w:rPr>
        <w:t xml:space="preserve"> ............................................ </w:t>
      </w:r>
      <w:r>
        <w:rPr>
          <w:rFonts w:ascii="Times New Roman" w:hAnsi="Times New Roman" w:eastAsia="Times New Roman"/>
          <w:sz w:val="28"/>
        </w:rPr>
        <w:t>18</w:t>
      </w:r>
    </w:p>
    <w:p>
      <w:pPr>
        <w:ind w:firstLine="0" w:left="0"/>
      </w:pPr>
      <w:r>
        <w:rPr>
          <w:rFonts w:ascii="Times New Roman" w:hAnsi="Times New Roman" w:eastAsia="Times New Roman"/>
          <w:sz w:val="28"/>
        </w:rPr>
        <w:t>Заключение</w:t>
      </w:r>
      <w:r>
        <w:rPr>
          <w:rFonts w:ascii="Times New Roman" w:hAnsi="Times New Roman" w:eastAsia="Times New Roman"/>
          <w:sz w:val="28"/>
        </w:rPr>
        <w:t xml:space="preserve"> .................................................................... </w:t>
      </w:r>
      <w:r>
        <w:rPr>
          <w:rFonts w:ascii="Times New Roman" w:hAnsi="Times New Roman" w:eastAsia="Times New Roman"/>
          <w:sz w:val="28"/>
        </w:rPr>
        <w:t>19</w:t>
      </w:r>
    </w:p>
    <w:p>
      <w:pPr>
        <w:ind w:firstLine="0" w:left="0"/>
      </w:pPr>
      <w:r>
        <w:rPr>
          <w:rFonts w:ascii="Times New Roman" w:hAnsi="Times New Roman" w:eastAsia="Times New Roman"/>
          <w:sz w:val="28"/>
        </w:rPr>
        <w:t>Список использованных источников</w:t>
      </w:r>
      <w:r>
        <w:rPr>
          <w:rFonts w:ascii="Times New Roman" w:hAnsi="Times New Roman" w:eastAsia="Times New Roman"/>
          <w:sz w:val="28"/>
        </w:rPr>
        <w:t xml:space="preserve"> .............................................. </w:t>
      </w:r>
      <w:r>
        <w:rPr>
          <w:rFonts w:ascii="Times New Roman" w:hAnsi="Times New Roman" w:eastAsia="Times New Roman"/>
          <w:sz w:val="28"/>
        </w:rPr>
        <w:t>20</w:t>
      </w:r>
    </w:p>
    <w:p>
      <w:r>
        <w:br w:type="page"/>
      </w:r>
    </w:p>
    <w:p>
      <w:pPr>
        <w:pStyle w:val="Heading1"/>
        <w:ind w:firstLine="0"/>
        <w:jc w:val="center"/>
      </w:pPr>
      <w:r>
        <w:t>ВВЕДЕНИЕ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sz w:val="28"/>
        </w:rPr>
        <w:t>Дополненная реальность постепенно переходит от демонстрационных приложений к практическим системам, в которых пользователь ожидает естественного, быстрого и устойчивого взаимодействия с виртуальными объектами. Одним из наиболее перспективных способов такого взаимодействия является mid-air управление жестами руки: пользователь не держит контроллер, а выполняет команды движением кисти и пальцев перед камерой или AR-гарнитурой.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sz w:val="28"/>
        </w:rPr>
        <w:t>Настоящий документ является рабочей редакцией отчета по результатам научно-исследовательской работы и одновременно фиксирует срез магистерской диссертации на 13.05.2026. В отличие от предыдущего отчета, где основное внимание уделялось анализу предметной области и планируемой архитектуре Unity-прототипа, текущий проект уже содержит воспроизводимый исследовательский конвейер: подготовку данных IPN Hand, извлечение landmarks, обучение нескольких вариантов распознавания, benchmark-отчеты, ONNX-экспорт и live AR-интерфейс на React/Three.js.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sz w:val="28"/>
        </w:rPr>
        <w:t>Актуальность работы определяется двумя противоречиями. С одной стороны, обзоры по AR/MR и mid-air interaction показывают устойчивый интерес к жестовому вводу и его применению в промышленности, навигации, визуализации и удаленном сотрудничестве [1]-[5]. С другой стороны, практическое качество такой системы зависит не только от классификатора, но и от всего конвейера: датасета, трекинга руки, временной модели, логики подавления ложных срабатываний и переносимости inference на целевые платформы [24], [26]-[35].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sz w:val="28"/>
        </w:rPr>
        <w:t>Цель работы - разработать и экспериментально оценить Windows-first исследовательский конвейер для контекстно-зависимого распознавания жестов по временным последовательностям hand landmarks, предназначенный для AR-взаимодействия с виртуальными объектами, меню и информационным содержимым.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sz w:val="28"/>
        </w:rPr>
        <w:t>Для достижения цели решаются следующие задачи:</w:t>
      </w:r>
    </w:p>
    <w:p>
      <w:pPr>
        <w:spacing w:line="360" w:lineRule="auto"/>
        <w:ind w:left="709" w:firstLine="0"/>
      </w:pPr>
      <w:r>
        <w:rPr>
          <w:rFonts w:ascii="Times New Roman" w:hAnsi="Times New Roman" w:eastAsia="Times New Roman"/>
          <w:sz w:val="28"/>
        </w:rPr>
        <w:t>• сформировать целевой словарь жестов, связанный с типовыми AR-действиями;</w:t>
      </w:r>
    </w:p>
    <w:p>
      <w:pPr>
        <w:spacing w:line="360" w:lineRule="auto"/>
        <w:ind w:left="709" w:firstLine="0"/>
      </w:pPr>
      <w:r>
        <w:rPr>
          <w:rFonts w:ascii="Times New Roman" w:hAnsi="Times New Roman" w:eastAsia="Times New Roman"/>
          <w:sz w:val="28"/>
        </w:rPr>
        <w:t>• подготовить публичный benchmark на основе IPN Hand и привести данные к единому формату manifest JSONL + NPZ tensors;</w:t>
      </w:r>
    </w:p>
    <w:p>
      <w:pPr>
        <w:spacing w:line="360" w:lineRule="auto"/>
        <w:ind w:left="709" w:firstLine="0"/>
      </w:pPr>
      <w:r>
        <w:rPr>
          <w:rFonts w:ascii="Times New Roman" w:hAnsi="Times New Roman" w:eastAsia="Times New Roman"/>
          <w:sz w:val="28"/>
        </w:rPr>
        <w:t>• реализовать и сравнить несколько вариантов распознавания: rule-based baseline C0, classical ML C1 и temporal model C1-T;</w:t>
      </w:r>
    </w:p>
    <w:p>
      <w:pPr>
        <w:spacing w:line="360" w:lineRule="auto"/>
        <w:ind w:left="709" w:firstLine="0"/>
      </w:pPr>
      <w:r>
        <w:rPr>
          <w:rFonts w:ascii="Times New Roman" w:hAnsi="Times New Roman" w:eastAsia="Times New Roman"/>
          <w:sz w:val="28"/>
        </w:rPr>
        <w:t>• выделить context-aware слой C2, отвечающий за пороги, устойчивость распознавания, cooldown и подавление случайных действий;</w:t>
      </w:r>
    </w:p>
    <w:p>
      <w:pPr>
        <w:spacing w:line="360" w:lineRule="auto"/>
        <w:ind w:left="709" w:firstLine="0"/>
      </w:pPr>
      <w:r>
        <w:rPr>
          <w:rFonts w:ascii="Times New Roman" w:hAnsi="Times New Roman" w:eastAsia="Times New Roman"/>
          <w:sz w:val="28"/>
        </w:rPr>
        <w:t>• оценить recognition-level метрики и зафиксировать первые live/interaction результаты;</w:t>
      </w:r>
    </w:p>
    <w:p>
      <w:pPr>
        <w:spacing w:line="360" w:lineRule="auto"/>
        <w:ind w:left="709" w:firstLine="0"/>
      </w:pPr>
      <w:r>
        <w:rPr>
          <w:rFonts w:ascii="Times New Roman" w:hAnsi="Times New Roman" w:eastAsia="Times New Roman"/>
          <w:sz w:val="28"/>
        </w:rPr>
        <w:t>• подготовить переносимый контур ONNX/Core ML для последующей интеграции с desktop и мобильной AR-демонстрацией.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sz w:val="28"/>
        </w:rPr>
        <w:t>Объект исследования - жестовое бесконтактное взаимодействие в системах дополненной реальности. Предмет исследования - методы распознавания и контекстной фильтрации жестов руки по временным последовательностям 21x3 landmarks, получаемых из RGB-видео.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sz w:val="28"/>
        </w:rPr>
        <w:t>Практическая значимость текущего этапа состоит в том, что создан не изолированный классификатор, а сквозная платформа для повторяемых экспериментов: от публичных данных до live backend, UI и журналов сессий. Поэтому результаты можно использовать как основу для финальной магистерской диссертации, дальнейшей локальной адаптации и пользовательского исследования.</w:t>
      </w:r>
    </w:p>
    <w:p>
      <w:pPr>
        <w:pStyle w:val="Heading1"/>
        <w:ind w:firstLine="0"/>
        <w:jc w:val="center"/>
      </w:pPr>
      <w:r>
        <w:t>1. АНАЛИЗ ПРЕДМЕТНОЙ ОБЛАСТИ</w:t>
      </w:r>
    </w:p>
    <w:p>
      <w:pPr>
        <w:pStyle w:val="Heading2"/>
        <w:ind w:firstLine="0"/>
      </w:pPr>
      <w:r>
        <w:t>1.1. Mid-air взаимодействие и классификация жестов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sz w:val="28"/>
        </w:rPr>
        <w:t>Жестовое mid-air взаимодействие в AR/MR рассматривается как форма ввода, при которой пользователь управляет цифровым содержимым движениями руки без физического контакта с поверхностью ввода. Для AR это особенно важно: использование мыши, клавиатуры или внешнего контроллера часто разрушает естественность сцены, а в производственных, медицинских или учебных сценариях может быть неудобно или небезопасно.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sz w:val="28"/>
        </w:rPr>
        <w:t>В литературе выделяются статические и динамические жесты, манипуляционные и командные жесты, прямое и непрямое взаимодействие. Статические жесты проще стабилизировать, но они могут требовать удержания кисти в фиксированной позе. Динамические жесты лучше соответствуют действиям перелистывания, навигации и трансформации объектов, но требуют учета временной структуры движения [3], [4], [7].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sz w:val="28"/>
        </w:rPr>
        <w:t>Для текущего проекта особенно важны три сценария: управление виртуальным объектом, навигация по элементам интерфейса и просмотр информационного содержимого. Эти сценарии покрывают типовые операции AR-прототипа: указание, подтверждение выбора, переход вперед/назад, масштабирование и подавление действия при отсутствии намеренного жеста.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sz w:val="28"/>
        </w:rPr>
        <w:t>Отдельная проблема mid-air ввода - отсутствие тактильной опоры. Пользователь не получает естественного физического подтверждения, поэтому возрастает роль визуальной обратной связи: курсора, подсветки активной зоны, анимации подтверждения, индикаторов confidence и статуса распознавания. Работы по меню в AR, визуализации и взаимодействию с картами показывают, что жесты должны оцениваться не только по точности классификации, но и по времени задачи, ошибкам, запоминаемости, утомляемости и субъективному удобству [14]-[18].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sz w:val="28"/>
        </w:rPr>
        <w:t>Фактор утомляемости принципиален для магистерской постановки. Эффект «горилла-руки» возникает, когда пользователь долго держит руку в воздухе без опоры; это снижает точность, увеличивает число ошибок и ухудшает пользовательский опыт. Поэтому финальная оценка не должна ограничиваться accuracy: необходимо фиксировать ложные срабатывания, повторные корректировки, задержку gesture-to-action и воспринимаемую физическую нагрузку [19]-[23].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230"/>
        <w:gridCol w:w="3230"/>
        <w:gridCol w:w="3230"/>
      </w:tblGrid>
      <w:tr>
        <w:trPr>
          <w:tblHeader w:val="true"/>
        </w:trPr>
        <w:tc>
          <w:tcPr>
            <w:tcW w:type="dxa" w:w="1701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Группа</w:t>
            </w:r>
          </w:p>
        </w:tc>
        <w:tc>
          <w:tcPr>
            <w:tcW w:type="dxa" w:w="3288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Примеры метрик</w:t>
            </w:r>
          </w:p>
        </w:tc>
        <w:tc>
          <w:tcPr>
            <w:tcW w:type="dxa" w:w="4082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Назначение в текущем проекте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Recognition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accuracy, balanced accuracy, macro F1, weighted F1, confusion matrix, latency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Сравнение C0, C1, C1-T на публичном benchmark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Interaction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task success rate, false trigger rate, unintended action rate, action precision/recall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Оценка полезности C2 поверх классификатора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Live-телеметрия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FPS, processing time, detection rate, gesture/action counts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Контроль пригодности pipeline для webcam/AR режима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UX/эргономика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SUS, UEQ-S, NASA-TLX или краткая шкала нагрузки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Следующий этап пользовательского исследования</w:t>
            </w:r>
          </w:p>
        </w:tc>
      </w:tr>
    </w:tbl>
    <w:p/>
    <w:p>
      <w:pPr>
        <w:pStyle w:val="Heading2"/>
        <w:ind w:firstLine="0"/>
      </w:pPr>
      <w:r>
        <w:t>1.2. Распознавание жестов по landmarks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sz w:val="28"/>
        </w:rPr>
        <w:t>Возможны два крупных подхода к распознаванию жестов: работа с исходным RGB/оптическим потоком и работа с восстановленной позой руки. RGB-подход потенциально содержит больше визуальной информации, но дороже, сильнее зависит от сцены и сложнее переносится на мобильные устройства. Landmark-подход использует компактное представление кисти и позволяет строить более легкие модели, пригодные для частых экспериментов и real-time inference.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sz w:val="28"/>
        </w:rPr>
        <w:t>MediaPipe Hands и современная задача MediaPipe Hand Landmarker формируют практическую основу такого подхода. В официальной документации указано, что Hand Landmarker работает со статическими изображениями, видео и live stream, возвращает landmarks в image/world координатах и handedness, а модель определяет 21 ключевую координату кисти [27], [28]. Для проекта это означает, что вход классификатора можно стабилизировать как тензор [T,21,3] с маской валидных кадров и confidence.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sz w:val="28"/>
        </w:rPr>
        <w:t>Временная составляющая является ключевой для swipe и zoom. Для таких жестов не хватает статической позы: важно направление, скорость, изменение расстояний между пальцами и устойчивость последовательности. Поэтому текущий проект разделяет pose stream и motion stream, а основной вариант C1-T реализован как компактная temporal convolutional network. Выбор TCN обоснован тем, что сверточные последовательные модели могут служить сильной альтернативой рекуррентным архитектурам и проще оптимизируются на фиксированных временных окнах [29].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sz w:val="28"/>
        </w:rPr>
        <w:t>Публичный датасет IPN Hand подходит для выбранной постановки, поскольку был создан именно для continuous hand gesture recognition, содержит реальные сцены, широкий разброс условий и отдельный no-gesture класс [26]. Новая работа IPN HandS 2025 дополнительно подтверждает значимость skeleton-based разметки и качества landmarks для обобщающей способности моделей [31]. Поэтому ориентация текущего проекта на public-data-first pipeline является методологически оправданной.</w:t>
      </w:r>
    </w:p>
    <w:p>
      <w:pPr>
        <w:pStyle w:val="Heading2"/>
        <w:ind w:firstLine="0"/>
      </w:pPr>
      <w:r>
        <w:t>1.3. Актуализация литературы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sz w:val="28"/>
        </w:rPr>
        <w:t>Список источников из предыдущего отчета в целом остается релевантным для анализа предметной области: он покрывает mid-air interaction, AR/MR hand interaction, меню, визуализацию, усталость и трекинг руки. Однако текущий проект уже перешел от концепции к обучаемому pipeline, поэтому литературу необходимо дополнить источниками по публичным датасетам, landmark-based recognition, temporal models и переносимому inference.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230"/>
        <w:gridCol w:w="3230"/>
        <w:gridCol w:w="3230"/>
      </w:tblGrid>
      <w:tr>
        <w:trPr>
          <w:tblHeader w:val="true"/>
        </w:trPr>
        <w:tc>
          <w:tcPr>
            <w:tcW w:type="dxa" w:w="2948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Блок литературы</w:t>
            </w:r>
          </w:p>
        </w:tc>
        <w:tc>
          <w:tcPr>
            <w:tcW w:type="dxa" w:w="1928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Статус</w:t>
            </w:r>
          </w:p>
        </w:tc>
        <w:tc>
          <w:tcPr>
            <w:tcW w:type="dxa" w:w="4082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Решение</w:t>
            </w:r>
          </w:p>
        </w:tc>
      </w:tr>
      <w:tr>
        <w:tc>
          <w:tcPr>
            <w:tcW w:type="dxa" w:w="294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Обзоры mid-air и AR/MR hand interaction [1]-[5]</w:t>
            </w:r>
          </w:p>
        </w:tc>
        <w:tc>
          <w:tcPr>
            <w:tcW w:type="dxa" w:w="192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Актуальны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Оставить как основу главы 1 и постановки проблемы</w:t>
            </w:r>
          </w:p>
        </w:tc>
      </w:tr>
      <w:tr>
        <w:tc>
          <w:tcPr>
            <w:tcW w:type="dxa" w:w="294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Ранние работы по user-defined gestures и direct manipulation [6], [9], [10]</w:t>
            </w:r>
          </w:p>
        </w:tc>
        <w:tc>
          <w:tcPr>
            <w:tcW w:type="dxa" w:w="192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Актуальны как базовые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Использовать для исторического и методического контекста</w:t>
            </w:r>
          </w:p>
        </w:tc>
      </w:tr>
      <w:tr>
        <w:tc>
          <w:tcPr>
            <w:tcW w:type="dxa" w:w="294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Работы по меню, визуализации, обратной связи и fatigue [14]-[23]</w:t>
            </w:r>
          </w:p>
        </w:tc>
        <w:tc>
          <w:tcPr>
            <w:tcW w:type="dxa" w:w="192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Актуальны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Сохранить для обоснования interaction-level метрик</w:t>
            </w:r>
          </w:p>
        </w:tc>
      </w:tr>
      <w:tr>
        <w:tc>
          <w:tcPr>
            <w:tcW w:type="dxa" w:w="294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Источники по HoloLens/hand tracking 2025 [24], [25]</w:t>
            </w:r>
          </w:p>
        </w:tc>
        <w:tc>
          <w:tcPr>
            <w:tcW w:type="dxa" w:w="192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Особенно актуальны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Использовать как подтверждение современных ограничений трекинга</w:t>
            </w:r>
          </w:p>
        </w:tc>
      </w:tr>
      <w:tr>
        <w:tc>
          <w:tcPr>
            <w:tcW w:type="dxa" w:w="294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Датасеты и landmark extraction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Недостаточно в старом списке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Добавить IPN Hand, IPN HandS, MediaPipe Hands/Hand Landmarker [26]-[28], [31]</w:t>
            </w:r>
          </w:p>
        </w:tc>
      </w:tr>
      <w:tr>
        <w:tc>
          <w:tcPr>
            <w:tcW w:type="dxa" w:w="294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Temporal ML и переносимость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Недостаточно в старом списке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Добавить TCN, ONNX Runtime, Core ML Tools, PyTorch [29], [34]-[36]</w:t>
            </w:r>
          </w:p>
        </w:tc>
      </w:tr>
    </w:tbl>
    <w:p/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sz w:val="28"/>
        </w:rPr>
        <w:t>Таким образом, исходная библиография не требует радикальной замены, но требует расширения. В новом списке источников старые работы используются для описания интерфейсной и эргономической проблематики, а новые - для обоснования фактически реализованной исследовательской системы.</w:t>
      </w:r>
    </w:p>
    <w:p>
      <w:pPr>
        <w:pStyle w:val="Heading2"/>
        <w:ind w:firstLine="0"/>
      </w:pPr>
      <w:r>
        <w:t>1.4. Выводы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sz w:val="28"/>
        </w:rPr>
        <w:t>Анализ предметной области показывает, что исследовательская ценность работы находится не в простом факте распознавания жестов, а в проверке полной связки: landmark extraction, temporal recognition, context-aware action policy и AR-интерфейс. Поэтому дальнейшие главы рассматривают систему как экспериментальную платформу, где классификатор и слой взаимодействия оцениваются раздельно и совместно.</w:t>
      </w:r>
    </w:p>
    <w:p>
      <w:pPr>
        <w:pStyle w:val="Heading1"/>
        <w:ind w:firstLine="0"/>
        <w:jc w:val="center"/>
      </w:pPr>
      <w:r>
        <w:t>2. МЕТОД И АРХИТЕКТУРА ТЕКУЩЕГО ПРОЕКТА</w:t>
      </w:r>
    </w:p>
    <w:p>
      <w:pPr>
        <w:pStyle w:val="Heading2"/>
        <w:ind w:firstLine="0"/>
      </w:pPr>
      <w:r>
        <w:t>2.1. Постановка задачи и словарь жестов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sz w:val="28"/>
        </w:rPr>
        <w:t>Текущий проект реализован как Windows-first research pipeline с последующей переносимостью на ONNX/Core ML. Такое ограничение выбрано прагматически: основная подготовка данных, обучение, benchmark и desktop demo выполняются на Windows-ноутбуке с NVIDIA GPU, а мобильный/iOS контур остается отдельным этапом переносимости.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sz w:val="28"/>
        </w:rPr>
        <w:t>В целевой словарь включено семь классов: no_gesture, point_2f, click_2f, swipe_left, swipe_right, zoom_in, zoom_out. Они были выбраны как минимальный, но функционально полный набор для AR-сценариев: отсутствие команды, наведение, подтверждение, переход влево/вправо и масштабирование.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422"/>
        <w:gridCol w:w="2422"/>
        <w:gridCol w:w="2422"/>
        <w:gridCol w:w="2422"/>
      </w:tblGrid>
      <w:tr>
        <w:trPr>
          <w:tblHeader w:val="true"/>
        </w:trPr>
        <w:tc>
          <w:tcPr>
            <w:tcW w:type="dxa" w:w="1701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Класс</w:t>
            </w:r>
          </w:p>
        </w:tc>
        <w:tc>
          <w:tcPr>
            <w:tcW w:type="dxa" w:w="2438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Семантика</w:t>
            </w:r>
          </w:p>
        </w:tc>
        <w:tc>
          <w:tcPr>
            <w:tcW w:type="dxa" w:w="2268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IPN Hand mapping</w:t>
            </w:r>
          </w:p>
        </w:tc>
        <w:tc>
          <w:tcPr>
            <w:tcW w:type="dxa" w:w="2665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AR-действие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no_gesture</w:t>
            </w:r>
          </w:p>
        </w:tc>
        <w:tc>
          <w:tcPr>
            <w:tcW w:type="dxa" w:w="243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отсутствие команды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No gesture / D0X</w:t>
            </w:r>
          </w:p>
        </w:tc>
        <w:tc>
          <w:tcPr>
            <w:tcW w:type="dxa" w:w="266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suppress/reset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point_2f</w:t>
            </w:r>
          </w:p>
        </w:tc>
        <w:tc>
          <w:tcPr>
            <w:tcW w:type="dxa" w:w="243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указание двумя пальцами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Point-2f / B0B</w:t>
            </w:r>
          </w:p>
        </w:tc>
        <w:tc>
          <w:tcPr>
            <w:tcW w:type="dxa" w:w="266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pointer/hover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click_2f</w:t>
            </w:r>
          </w:p>
        </w:tc>
        <w:tc>
          <w:tcPr>
            <w:tcW w:type="dxa" w:w="243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выбор/подтверждение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Click-2f / G02</w:t>
            </w:r>
          </w:p>
        </w:tc>
        <w:tc>
          <w:tcPr>
            <w:tcW w:type="dxa" w:w="266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select/confirm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swipe_left</w:t>
            </w:r>
          </w:p>
        </w:tc>
        <w:tc>
          <w:tcPr>
            <w:tcW w:type="dxa" w:w="243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движение влево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Th-left / G05</w:t>
            </w:r>
          </w:p>
        </w:tc>
        <w:tc>
          <w:tcPr>
            <w:tcW w:type="dxa" w:w="266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previous/rotate left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swipe_right</w:t>
            </w:r>
          </w:p>
        </w:tc>
        <w:tc>
          <w:tcPr>
            <w:tcW w:type="dxa" w:w="243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движение вправо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Th-right / G06</w:t>
            </w:r>
          </w:p>
        </w:tc>
        <w:tc>
          <w:tcPr>
            <w:tcW w:type="dxa" w:w="266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next/rotate right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zoom_in</w:t>
            </w:r>
          </w:p>
        </w:tc>
        <w:tc>
          <w:tcPr>
            <w:tcW w:type="dxa" w:w="243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масштабирование внутрь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Zoom-in / G10</w:t>
            </w:r>
          </w:p>
        </w:tc>
        <w:tc>
          <w:tcPr>
            <w:tcW w:type="dxa" w:w="266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zoom in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zoom_out</w:t>
            </w:r>
          </w:p>
        </w:tc>
        <w:tc>
          <w:tcPr>
            <w:tcW w:type="dxa" w:w="243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масштабирование наружу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Zoom-o / G11</w:t>
            </w:r>
          </w:p>
        </w:tc>
        <w:tc>
          <w:tcPr>
            <w:tcW w:type="dxa" w:w="266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zoom out</w:t>
            </w:r>
          </w:p>
        </w:tc>
      </w:tr>
    </w:tbl>
    <w:p/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sz w:val="28"/>
        </w:rPr>
        <w:t>Наличие класса no_gesture принципиально: в реальной AR-сцене пользователь постоянно двигает рукой, но не каждое движение является командой. Поэтому no_gesture используется не как «пустой» класс, а как reset/decay signal для context-aware политики.</w:t>
      </w:r>
    </w:p>
    <w:p>
      <w:pPr>
        <w:pStyle w:val="Heading2"/>
        <w:ind w:firstLine="0"/>
      </w:pPr>
      <w:r>
        <w:t>2.2. Данные, manifest и представление tensors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sz w:val="28"/>
        </w:rPr>
        <w:t>Данные проекта организованы по контракту manifest JSONL + NPZ shards. Manifest хранит метаданные клипа, label, split и путь к тензору; NPZ shard содержит landmarks [T,21,3], sequence_mask, frame_confidence, handedness_score и coord_space. Такое разделение делает pipeline проверяемым: можно валидировать manifest отдельно, переиспользовать извлеченные landmarks и запускать benchmark без повторного чтения исходных видео.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sz w:val="28"/>
        </w:rPr>
        <w:t>На текущем этапе подготовлены два уровня данных. Первичный balanced subset содержит 175 train и 70 test клипов, по 25/10 экземпляров на класс. Полный публичный benchmark содержит 2405 train и 1033 test клипа из целевых классов IPN Hand.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422"/>
        <w:gridCol w:w="2422"/>
        <w:gridCol w:w="2422"/>
        <w:gridCol w:w="2422"/>
      </w:tblGrid>
      <w:tr>
        <w:trPr>
          <w:tblHeader w:val="true"/>
        </w:trPr>
        <w:tc>
          <w:tcPr>
            <w:tcW w:type="dxa" w:w="2268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Класс</w:t>
            </w:r>
          </w:p>
        </w:tc>
        <w:tc>
          <w:tcPr>
            <w:tcW w:type="dxa" w:w="1701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Train</w:t>
            </w:r>
          </w:p>
        </w:tc>
        <w:tc>
          <w:tcPr>
            <w:tcW w:type="dxa" w:w="1701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Test</w:t>
            </w:r>
          </w:p>
        </w:tc>
        <w:tc>
          <w:tcPr>
            <w:tcW w:type="dxa" w:w="1701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Всего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no_gesture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922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509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1431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point_2f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743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264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1007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click_2f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148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52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200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swipe_left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148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52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200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swipe_right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148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52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200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zoom_in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148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52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200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zoom_out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148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52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200</w:t>
            </w:r>
          </w:p>
        </w:tc>
      </w:tr>
    </w:tbl>
    <w:p/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sz w:val="28"/>
        </w:rPr>
        <w:t>Для обучения и inference последовательности приводятся к длине T=32. Это значение является компромиссом между полнотой временного жеста и задержкой обработки. В дальнейших экспериментах целесообразно проверить окна 16/24/32, чтобы явно оценить trade-off между задержкой и точностью.</w:t>
      </w:r>
    </w:p>
    <w:p>
      <w:r>
        <w:drawing>
          <wp:inline xmlns:a="http://schemas.openxmlformats.org/drawingml/2006/main" xmlns:pic="http://schemas.openxmlformats.org/drawingml/2006/picture">
            <wp:extent cx="5852160" cy="32918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rFonts w:ascii="Times New Roman" w:hAnsi="Times New Roman" w:eastAsia="Times New Roman"/>
          <w:i/>
          <w:sz w:val="24"/>
        </w:rPr>
        <w:t>Рисунок 2.1 - Архитектура текущего исследовательского конвейера</w:t>
      </w:r>
    </w:p>
    <w:p>
      <w:pPr>
        <w:pStyle w:val="Heading2"/>
        <w:ind w:firstLine="0"/>
      </w:pPr>
      <w:r>
        <w:t>2.3. Модели C0, C1, C1-T и слой C2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sz w:val="28"/>
        </w:rPr>
        <w:t>В проекте намеренно сохранены несколько уровней сложности. C0 является rule-based baseline и нужен для нижней границы качества. C1 использует random forest на engineered clip summaries и показывает, насколько далеко можно продвинуться без нейросетевой temporal модели. C1-T использует компактную TCN-модель поверх временной последовательности признаков и является основным кандидатом для финальной системы.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sz w:val="28"/>
        </w:rPr>
        <w:t>C1-T построен как стек temporal blocks с Conv1D, BatchNorm, GELU, Dropout и residual skip connection. Конфигурация текущей модели: входная размерность 74, число классов 7, каналы (64, 64, 96), kernel_size=3, dropout=0.15. Такой размер модели хорошо соответствует цели проекта: не максимальная тяжеловесная video-CNN, а быстрый landmark-based классификатор для многократных ablation-прогонов и live inference.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sz w:val="28"/>
        </w:rPr>
        <w:t>C2 не является еще одним классификатором. Это interaction policy поверх предсказаний, реализованная как конечный автомат с activation_threshold=0.62, stable_frames=2, cooldown_ms=250 и no_gesture_reset_frames=3. Политика пропускает команду только после подтверждения устойчивости, подавляет низкую confidence и не допускает слишком частых повторных действий.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422"/>
        <w:gridCol w:w="2422"/>
        <w:gridCol w:w="2422"/>
        <w:gridCol w:w="2422"/>
      </w:tblGrid>
      <w:tr>
        <w:trPr>
          <w:tblHeader w:val="true"/>
        </w:trPr>
        <w:tc>
          <w:tcPr>
            <w:tcW w:type="dxa" w:w="1474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Вариант</w:t>
            </w:r>
          </w:p>
        </w:tc>
        <w:tc>
          <w:tcPr>
            <w:tcW w:type="dxa" w:w="2268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Назначение</w:t>
            </w:r>
          </w:p>
        </w:tc>
        <w:tc>
          <w:tcPr>
            <w:tcW w:type="dxa" w:w="2721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Преимущества</w:t>
            </w:r>
          </w:p>
        </w:tc>
        <w:tc>
          <w:tcPr>
            <w:tcW w:type="dxa" w:w="2608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Ограничения</w:t>
            </w:r>
          </w:p>
        </w:tc>
      </w:tr>
      <w:tr>
        <w:tc>
          <w:tcPr>
            <w:tcW w:type="dxa" w:w="147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C0 rule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Нижняя граница качества</w:t>
            </w:r>
          </w:p>
        </w:tc>
        <w:tc>
          <w:tcPr>
            <w:tcW w:type="dxa" w:w="272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Быстро, объяснимо, без обучения</w:t>
            </w:r>
          </w:p>
        </w:tc>
        <w:tc>
          <w:tcPr>
            <w:tcW w:type="dxa" w:w="26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Слабая точность и переносимость правил</w:t>
            </w:r>
          </w:p>
        </w:tc>
      </w:tr>
      <w:tr>
        <w:tc>
          <w:tcPr>
            <w:tcW w:type="dxa" w:w="147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C1 RF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Классический ML baseline</w:t>
            </w:r>
          </w:p>
        </w:tc>
        <w:tc>
          <w:tcPr>
            <w:tcW w:type="dxa" w:w="272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Высокая точность на engineered features</w:t>
            </w:r>
          </w:p>
        </w:tc>
        <w:tc>
          <w:tcPr>
            <w:tcW w:type="dxa" w:w="26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Выше latency, хуже temporal обобщение</w:t>
            </w:r>
          </w:p>
        </w:tc>
      </w:tr>
      <w:tr>
        <w:tc>
          <w:tcPr>
            <w:tcW w:type="dxa" w:w="147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C1-T TCN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Основная temporal модель</w:t>
            </w:r>
          </w:p>
        </w:tc>
        <w:tc>
          <w:tcPr>
            <w:tcW w:type="dxa" w:w="272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Лучшая macro F1 и низкая latency</w:t>
            </w:r>
          </w:p>
        </w:tc>
        <w:tc>
          <w:tcPr>
            <w:tcW w:type="dxa" w:w="26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Нужны validation split и early stopping</w:t>
            </w:r>
          </w:p>
        </w:tc>
      </w:tr>
      <w:tr>
        <w:tc>
          <w:tcPr>
            <w:tcW w:type="dxa" w:w="147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C2 policy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Gesture-to-action слой</w:t>
            </w:r>
          </w:p>
        </w:tc>
        <w:tc>
          <w:tcPr>
            <w:tcW w:type="dxa" w:w="272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Снижает случайные действия</w:t>
            </w:r>
          </w:p>
        </w:tc>
        <w:tc>
          <w:tcPr>
            <w:tcW w:type="dxa" w:w="26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Нужна task-level пользовательская оценка</w:t>
            </w:r>
          </w:p>
        </w:tc>
      </w:tr>
    </w:tbl>
    <w:p/>
    <w:p>
      <w:pPr>
        <w:pStyle w:val="Heading2"/>
        <w:ind w:firstLine="0"/>
      </w:pPr>
      <w:r>
        <w:t>2.4. Программная архитектура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sz w:val="28"/>
        </w:rPr>
        <w:t>Репозиторий разделен на исследовательские модули: data/schema/manifest, features/preprocessing, models, evaluation, interaction, cli и serve. Такое устройство позволяет запускать отдельные этапы через CLI и сохранять воспроизводимые артефакты в каталоге artifacts.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sz w:val="28"/>
        </w:rPr>
        <w:t>Backend live-режима реализован на FastAPI/WebSocket. Он поддерживает методы c0, c1_rf, c1t_tcn и onnx, может работать с replay manifest или webcam stream. В webcam режиме OpenCV получает кадры камеры, MediaPipe HandLandmarker извлекает landmarks, окно из 32 кадров превращается в LandmarkTensor, после чего predictor возвращает label, confidence и scores.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sz w:val="28"/>
        </w:rPr>
        <w:t>Frontend находится в demo/ar_interaction_app и реализован на React + Three.js. Текущая UI-поверхность содержит выбор метода распознавания, режимы Dataset File и Camera Stream, Direct Control и C2 Gate, AR-сцену поверх camera layer, панель результатов benchmark и live-телеметрию. Таким образом, проект уже позволяет проверять не только offline recognition, но и поведение в пользовательском контуре.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sz w:val="28"/>
        </w:rPr>
        <w:t>Для переносимости подготовлен ONNX-экспорт модели ipn_c1t_tcn_full.onnx. На Windows также фиксируется Core ML contract stage: фактическая конвертация в mlpackage должна выполняться на поддерживаемой macOS/Linux-среде, но входные контракты и модельная архитектура уже отделены от Windows-only этапов.</w:t>
      </w:r>
    </w:p>
    <w:p>
      <w:pPr>
        <w:pStyle w:val="Heading2"/>
        <w:ind w:firstLine="0"/>
      </w:pPr>
      <w:r>
        <w:t>2.5. Выводы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sz w:val="28"/>
        </w:rPr>
        <w:t>Во второй главе показано, что текущий проект уже вышел за рамки концепта: сформирован словарь жестов, подготовлен public-data-first benchmark, реализованы baseline и temporal модели, выделен C2 interaction layer и создан live AR-интерфейс. Это позволяет перейти к экспериментальной главе, где оцениваются метрики распознавания, latency, live-срез и исследовательская новизна.</w:t>
      </w:r>
    </w:p>
    <w:p>
      <w:pPr>
        <w:pStyle w:val="Heading1"/>
        <w:ind w:firstLine="0"/>
        <w:jc w:val="center"/>
      </w:pPr>
      <w:r>
        <w:t>3. ЭКСПЕРИМЕНТАЛЬНАЯ ЧАСТЬ, НОВИЗНА И РЕЗУЛЬТАТЫ</w:t>
      </w:r>
    </w:p>
    <w:p>
      <w:pPr>
        <w:pStyle w:val="Heading2"/>
        <w:ind w:firstLine="0"/>
      </w:pPr>
      <w:r>
        <w:t>3.1. План экспериментов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sz w:val="28"/>
        </w:rPr>
        <w:t>Экспериментальная часть текущего среза построена по принципу постепенного усложнения. Сначала проверяется корректность данных и smoke pipeline, затем обучаются модели на balanced subset, после этого выполняется полный benchmark на official-like IPN train/test split, и только затем система подключается к live backend и AR UI.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422"/>
        <w:gridCol w:w="2422"/>
        <w:gridCol w:w="2422"/>
        <w:gridCol w:w="2422"/>
      </w:tblGrid>
      <w:tr>
        <w:trPr>
          <w:tblHeader w:val="true"/>
        </w:trPr>
        <w:tc>
          <w:tcPr>
            <w:tcW w:type="dxa" w:w="1814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Этап</w:t>
            </w:r>
          </w:p>
        </w:tc>
        <w:tc>
          <w:tcPr>
            <w:tcW w:type="dxa" w:w="2268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Вход</w:t>
            </w:r>
          </w:p>
        </w:tc>
        <w:tc>
          <w:tcPr>
            <w:tcW w:type="dxa" w:w="2948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Выход</w:t>
            </w:r>
          </w:p>
        </w:tc>
        <w:tc>
          <w:tcPr>
            <w:tcW w:type="dxa" w:w="1701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Статус</w:t>
            </w:r>
          </w:p>
        </w:tc>
      </w:tr>
      <w:tr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Smoke public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синтетические landmarks</w:t>
            </w:r>
          </w:p>
        </w:tc>
        <w:tc>
          <w:tcPr>
            <w:tcW w:type="dxa" w:w="294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проверка API и тестового контура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выполнено</w:t>
            </w:r>
          </w:p>
        </w:tc>
      </w:tr>
      <w:tr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Initial benchmark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175 train / 70 test</w:t>
            </w:r>
          </w:p>
        </w:tc>
        <w:tc>
          <w:tcPr>
            <w:tcW w:type="dxa" w:w="294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первичное сравнение C0/C1/C1-T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выполнено</w:t>
            </w:r>
          </w:p>
        </w:tc>
      </w:tr>
      <w:tr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Full benchmark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2405 train / 1033 test</w:t>
            </w:r>
          </w:p>
        </w:tc>
        <w:tc>
          <w:tcPr>
            <w:tcW w:type="dxa" w:w="294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основные recognition metrics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выполнено</w:t>
            </w:r>
          </w:p>
        </w:tc>
      </w:tr>
      <w:tr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ONNX export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C1-T TCN full</w:t>
            </w:r>
          </w:p>
        </w:tc>
        <w:tc>
          <w:tcPr>
            <w:tcW w:type="dxa" w:w="294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ipn_c1t_tcn_full.onnx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выполнено</w:t>
            </w:r>
          </w:p>
        </w:tc>
      </w:tr>
      <w:tr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Live webcam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камера + ONNX</w:t>
            </w:r>
          </w:p>
        </w:tc>
        <w:tc>
          <w:tcPr>
            <w:tcW w:type="dxa" w:w="294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JSONL live session + summary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первичный срез выполнен</w:t>
            </w:r>
          </w:p>
        </w:tc>
      </w:tr>
      <w:tr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C2+Local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локальные клипы</w:t>
            </w:r>
          </w:p>
        </w:tc>
        <w:tc>
          <w:tcPr>
            <w:tcW w:type="dxa" w:w="294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domain adaptation и user study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следующий этап</w:t>
            </w:r>
          </w:p>
        </w:tc>
      </w:tr>
    </w:tbl>
    <w:p/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sz w:val="28"/>
        </w:rPr>
        <w:t>Метрики recognition-level включают accuracy, balanced accuracy, macro F1, weighted F1, confusion matrix, median и p95 offline latency. Для interaction-level в проекте уже заложены task success rate, unintended action rate, false trigger rate per minute, action precision/recall и corrections per task; их полноценное наполнение ожидается после записи task-level live сценариев.</w:t>
      </w:r>
    </w:p>
    <w:p>
      <w:pPr>
        <w:pStyle w:val="Heading2"/>
        <w:ind w:firstLine="0"/>
      </w:pPr>
      <w:r>
        <w:t>3.2. Результаты распознавания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38"/>
        <w:gridCol w:w="1938"/>
        <w:gridCol w:w="1938"/>
        <w:gridCol w:w="1938"/>
        <w:gridCol w:w="1938"/>
      </w:tblGrid>
      <w:tr>
        <w:trPr>
          <w:tblHeader w:val="true"/>
        </w:trPr>
        <w:tc>
          <w:tcPr>
            <w:tcW w:type="dxa" w:w="2948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Вариант</w:t>
            </w:r>
          </w:p>
        </w:tc>
        <w:tc>
          <w:tcPr>
            <w:tcW w:type="dxa" w:w="1361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Accuracy</w:t>
            </w:r>
          </w:p>
        </w:tc>
        <w:tc>
          <w:tcPr>
            <w:tcW w:type="dxa" w:w="1474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Macro F1</w:t>
            </w:r>
          </w:p>
        </w:tc>
        <w:tc>
          <w:tcPr>
            <w:tcW w:type="dxa" w:w="1587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Weighted F1</w:t>
            </w:r>
          </w:p>
        </w:tc>
        <w:tc>
          <w:tcPr>
            <w:tcW w:type="dxa" w:w="1701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p95 latency, ms</w:t>
            </w:r>
          </w:p>
        </w:tc>
      </w:tr>
      <w:tr>
        <w:tc>
          <w:tcPr>
            <w:tcW w:type="dxa" w:w="294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C0 rule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0.2000</w:t>
            </w:r>
          </w:p>
        </w:tc>
        <w:tc>
          <w:tcPr>
            <w:tcW w:type="dxa" w:w="147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0.1358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0.1358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0.272</w:t>
            </w:r>
          </w:p>
        </w:tc>
      </w:tr>
      <w:tr>
        <w:tc>
          <w:tcPr>
            <w:tcW w:type="dxa" w:w="294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C1 random forest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0.7286</w:t>
            </w:r>
          </w:p>
        </w:tc>
        <w:tc>
          <w:tcPr>
            <w:tcW w:type="dxa" w:w="147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0.7214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0.7214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31.558</w:t>
            </w:r>
          </w:p>
        </w:tc>
      </w:tr>
      <w:tr>
        <w:tc>
          <w:tcPr>
            <w:tcW w:type="dxa" w:w="294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C1-T temporal prototype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0.6857</w:t>
            </w:r>
          </w:p>
        </w:tc>
        <w:tc>
          <w:tcPr>
            <w:tcW w:type="dxa" w:w="147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0.6859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0.6859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0.293</w:t>
            </w:r>
          </w:p>
        </w:tc>
      </w:tr>
      <w:tr>
        <w:tc>
          <w:tcPr>
            <w:tcW w:type="dxa" w:w="294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C1-T compact TCN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0.7857</w:t>
            </w:r>
          </w:p>
        </w:tc>
        <w:tc>
          <w:tcPr>
            <w:tcW w:type="dxa" w:w="147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0.7705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0.7705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4.346</w:t>
            </w:r>
          </w:p>
        </w:tc>
      </w:tr>
    </w:tbl>
    <w:p/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sz w:val="28"/>
        </w:rPr>
        <w:t>На initial subset компактная TCN-модель уже показывает лучший результат среди обучаемых вариантов: accuracy 0.7857 и macro F1 0.7705. Random forest уступает по точности и имеет существенно большую p95 latency. Temporal prototype остается полезным как легкий smoke-вариант, но не является основным кандидатом для финальной системы.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615"/>
        <w:gridCol w:w="1615"/>
        <w:gridCol w:w="1615"/>
        <w:gridCol w:w="1615"/>
        <w:gridCol w:w="1615"/>
        <w:gridCol w:w="1615"/>
      </w:tblGrid>
      <w:tr>
        <w:trPr>
          <w:tblHeader w:val="true"/>
        </w:trPr>
        <w:tc>
          <w:tcPr>
            <w:tcW w:type="dxa" w:w="2494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Вариант</w:t>
            </w:r>
          </w:p>
        </w:tc>
        <w:tc>
          <w:tcPr>
            <w:tcW w:type="dxa" w:w="1191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Accuracy</w:t>
            </w:r>
          </w:p>
        </w:tc>
        <w:tc>
          <w:tcPr>
            <w:tcW w:type="dxa" w:w="1417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Balanced Acc.</w:t>
            </w:r>
          </w:p>
        </w:tc>
        <w:tc>
          <w:tcPr>
            <w:tcW w:type="dxa" w:w="1247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Macro F1</w:t>
            </w:r>
          </w:p>
        </w:tc>
        <w:tc>
          <w:tcPr>
            <w:tcW w:type="dxa" w:w="1361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Weighted F1</w:t>
            </w:r>
          </w:p>
        </w:tc>
        <w:tc>
          <w:tcPr>
            <w:tcW w:type="dxa" w:w="1587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p95 latency, ms</w:t>
            </w:r>
          </w:p>
        </w:tc>
      </w:tr>
      <w:tr>
        <w:tc>
          <w:tcPr>
            <w:tcW w:type="dxa" w:w="249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C0 rule</w:t>
            </w:r>
          </w:p>
        </w:tc>
        <w:tc>
          <w:tcPr>
            <w:tcW w:type="dxa" w:w="119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0.1820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0.1662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0.0874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0.2158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0.237</w:t>
            </w:r>
          </w:p>
        </w:tc>
      </w:tr>
      <w:tr>
        <w:tc>
          <w:tcPr>
            <w:tcW w:type="dxa" w:w="249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C1 random forest</w:t>
            </w:r>
          </w:p>
        </w:tc>
        <w:tc>
          <w:tcPr>
            <w:tcW w:type="dxa" w:w="119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0.8955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0.7856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0.7987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0.8930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56.409</w:t>
            </w:r>
          </w:p>
        </w:tc>
      </w:tr>
      <w:tr>
        <w:tc>
          <w:tcPr>
            <w:tcW w:type="dxa" w:w="249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C1-T compact TCN</w:t>
            </w:r>
          </w:p>
        </w:tc>
        <w:tc>
          <w:tcPr>
            <w:tcW w:type="dxa" w:w="119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0.9061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0.8762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0.8504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0.9093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3.912</w:t>
            </w:r>
          </w:p>
        </w:tc>
      </w:tr>
    </w:tbl>
    <w:p/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sz w:val="28"/>
        </w:rPr>
        <w:t>На полном benchmark результат меняется качественно. Rule-based baseline демонстрирует ожидаемо низкую accuracy 0.1820 и macro F1 0.0874. Random forest достигает accuracy 0.8955 и weighted F1 0.8930, но его macro F1 остается 0.7987, а p95 latency составляет 56.409 ms. C1-T compact TCN показывает лучший общий баланс: accuracy 0.9061, balanced accuracy 0.8762, macro F1 0.8504, weighted F1 0.9093 и p95 latency 3.912 ms.</w:t>
      </w:r>
    </w:p>
    <w:p>
      <w:r>
        <w:drawing>
          <wp:inline xmlns:a="http://schemas.openxmlformats.org/drawingml/2006/main" xmlns:pic="http://schemas.openxmlformats.org/drawingml/2006/picture">
            <wp:extent cx="5852160" cy="34747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tric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4747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rFonts w:ascii="Times New Roman" w:hAnsi="Times New Roman" w:eastAsia="Times New Roman"/>
          <w:i/>
          <w:sz w:val="24"/>
        </w:rPr>
        <w:t>Рисунок 3.1 - Сравнение C0, C1 RF и C1-T TCN на полном IPN test split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38"/>
        <w:gridCol w:w="1938"/>
        <w:gridCol w:w="1938"/>
        <w:gridCol w:w="1938"/>
        <w:gridCol w:w="1938"/>
      </w:tblGrid>
      <w:tr>
        <w:trPr>
          <w:tblHeader w:val="true"/>
        </w:trPr>
        <w:tc>
          <w:tcPr>
            <w:tcW w:type="dxa" w:w="2268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Класс</w:t>
            </w:r>
          </w:p>
        </w:tc>
        <w:tc>
          <w:tcPr>
            <w:tcW w:type="dxa" w:w="1701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Precision</w:t>
            </w:r>
          </w:p>
        </w:tc>
        <w:tc>
          <w:tcPr>
            <w:tcW w:type="dxa" w:w="1701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Recall</w:t>
            </w:r>
          </w:p>
        </w:tc>
        <w:tc>
          <w:tcPr>
            <w:tcW w:type="dxa" w:w="1701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F1</w:t>
            </w:r>
          </w:p>
        </w:tc>
        <w:tc>
          <w:tcPr>
            <w:tcW w:type="dxa" w:w="1361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Support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no_gesture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0.9505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0.9057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0.9276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509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point_2f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0.9844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0.9583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0.9712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264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click_2f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0.7586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0.8462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0.8000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52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swipe_left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0.9574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0.8654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0.9091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52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swipe_right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0.8103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0.9038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0.8545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52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zoom_in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0.7719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0.8462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0.8073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52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zoom_out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0.5915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0.8077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0.6829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52</w:t>
            </w:r>
          </w:p>
        </w:tc>
      </w:tr>
    </w:tbl>
    <w:p/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sz w:val="28"/>
        </w:rPr>
        <w:t>По классам наиболее сильными являются point_2f и no_gesture: F1 равен 0.9712 и 0.9276 соответственно. Более сложными остаются zoom_out, zoom_in и click_2f. Это ожидаемо: zoom-жесты имеют близкую форму движения и зависят от качества оценки расстояния между пальцами, а click_2f может пересекаться с point_2f по статической позе.</w:t>
      </w:r>
    </w:p>
    <w:p>
      <w:r>
        <w:drawing>
          <wp:inline xmlns:a="http://schemas.openxmlformats.org/drawingml/2006/main" xmlns:pic="http://schemas.openxmlformats.org/drawingml/2006/picture">
            <wp:extent cx="5760720" cy="460857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fusion_matrix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6085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rFonts w:ascii="Times New Roman" w:hAnsi="Times New Roman" w:eastAsia="Times New Roman"/>
          <w:i/>
          <w:sz w:val="24"/>
        </w:rPr>
        <w:t>Рисунок 3.2 - Матрица ошибок C1-T TCN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sz w:val="28"/>
        </w:rPr>
        <w:t>Матрица ошибок показывает, что большая часть ошибок сосредоточена вокруг no_gesture и zoom_out. Для финальной версии исследования это задает ясные направления улучшения: class-balanced loss, validation split, early stopping, более точная обработка confidence/mask, augmentation для zoom-жестов и локальная адаптация на клипах пользователя.</w:t>
      </w:r>
    </w:p>
    <w:p>
      <w:pPr>
        <w:pStyle w:val="Heading2"/>
        <w:ind w:firstLine="0"/>
      </w:pPr>
      <w:r>
        <w:t>3.3. Interaction layer и live-срез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sz w:val="28"/>
        </w:rPr>
        <w:t>Offline recognition не гарантирует хорошее AR-взаимодействие. Даже точная модель может вызывать раздражение, если она слишком часто активирует действия, не учитывает контекст сцены или повторяет команду без cooldown. Поэтому текущий проект выделяет Direct Control и C2 Gate как разные режимы dispatch.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sz w:val="28"/>
        </w:rPr>
        <w:t>Direct Control отображает каждый распознанный жест в действие немедленно. Этот режим полезен для отладки модели и визуальной проверки UI. C2 Gate использует activation threshold, stable frames, cooldown и reset по no_gesture; он должен уменьшать случайные действия и сделать поведение системы более похожим на намеренное взаимодействие.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230"/>
        <w:gridCol w:w="3230"/>
        <w:gridCol w:w="3230"/>
      </w:tblGrid>
      <w:tr>
        <w:trPr>
          <w:tblHeader w:val="true"/>
        </w:trPr>
        <w:tc>
          <w:tcPr>
            <w:tcW w:type="dxa" w:w="2948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Параметр C2</w:t>
            </w:r>
          </w:p>
        </w:tc>
        <w:tc>
          <w:tcPr>
            <w:tcW w:type="dxa" w:w="1928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Текущее значение</w:t>
            </w:r>
          </w:p>
        </w:tc>
        <w:tc>
          <w:tcPr>
            <w:tcW w:type="dxa" w:w="4082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Назначение</w:t>
            </w:r>
          </w:p>
        </w:tc>
      </w:tr>
      <w:tr>
        <w:tc>
          <w:tcPr>
            <w:tcW w:type="dxa" w:w="294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activation_threshold</w:t>
            </w:r>
          </w:p>
        </w:tc>
        <w:tc>
          <w:tcPr>
            <w:tcW w:type="dxa" w:w="192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0.62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отсекает низкую confidence</w:t>
            </w:r>
          </w:p>
        </w:tc>
      </w:tr>
      <w:tr>
        <w:tc>
          <w:tcPr>
            <w:tcW w:type="dxa" w:w="294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stable_frames</w:t>
            </w:r>
          </w:p>
        </w:tc>
        <w:tc>
          <w:tcPr>
            <w:tcW w:type="dxa" w:w="192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2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требует повторного подтверждения жеста</w:t>
            </w:r>
          </w:p>
        </w:tc>
      </w:tr>
      <w:tr>
        <w:tc>
          <w:tcPr>
            <w:tcW w:type="dxa" w:w="294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cooldown_ms</w:t>
            </w:r>
          </w:p>
        </w:tc>
        <w:tc>
          <w:tcPr>
            <w:tcW w:type="dxa" w:w="192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250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подавляет слишком частые повторные действия</w:t>
            </w:r>
          </w:p>
        </w:tc>
      </w:tr>
      <w:tr>
        <w:tc>
          <w:tcPr>
            <w:tcW w:type="dxa" w:w="294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no_gesture_reset_frames</w:t>
            </w:r>
          </w:p>
        </w:tc>
        <w:tc>
          <w:tcPr>
            <w:tcW w:type="dxa" w:w="192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3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возвращает автомат в idle после отсутствия команды</w:t>
            </w:r>
          </w:p>
        </w:tc>
      </w:tr>
    </w:tbl>
    <w:p/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sz w:val="28"/>
        </w:rPr>
        <w:t>Первичный live-срез выполнен в режиме webcam + ONNX. Сессия содержит 147 кадров длительностью 9.975 s; средний FPS составил 14.667, p95 FPS - 15.530, среднее время обработки - 8.630 ms, p95 processing - 10.145 ms. В данной сессии все кадры классифицированы как no_gesture, поэтому она подтверждает техническую работоспособность stream/logging контура, но еще не является пользовательским экспериментом по жестам.</w:t>
      </w:r>
    </w:p>
    <w:p>
      <w:r>
        <w:drawing>
          <wp:inline xmlns:a="http://schemas.openxmlformats.org/drawingml/2006/main" xmlns:pic="http://schemas.openxmlformats.org/drawingml/2006/picture">
            <wp:extent cx="5852160" cy="253593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ve_summary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5359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rFonts w:ascii="Times New Roman" w:hAnsi="Times New Roman" w:eastAsia="Times New Roman"/>
          <w:i/>
          <w:sz w:val="24"/>
        </w:rPr>
        <w:t>Рисунок 3.3 - Первичный live-срез webcam + ONNX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sz w:val="28"/>
        </w:rPr>
        <w:t>Для полноценной interaction-оценки необходимо записать scripted task sessions: объектное управление, навигация и выбор целей. Каждая сессия должна содержать expected_action, фактическое action event, timestamp, confidence, состояние C2 и итог задачи. Тогда можно будет сравнить Direct Control и C2 Gate по task success rate, false trigger rate и corrections per task.</w:t>
      </w:r>
    </w:p>
    <w:p>
      <w:pPr>
        <w:pStyle w:val="Heading2"/>
        <w:ind w:firstLine="0"/>
      </w:pPr>
      <w:r>
        <w:t>3.4. Научная новизна и ограничения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sz w:val="28"/>
        </w:rPr>
        <w:t>На текущем этапе новизна работы формулируется как связка temporal landmark recognizer + context-aware interaction policy + public-data-first benchmark + переносимый live AR контур. В отличие от работ, где распознавание жестов рассматривается изолированно, здесь классификатор сразу помещается в action layer и оценивается с учетом no_gesture, стабильности, cooldown и будущих task-level метрик.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sz w:val="28"/>
        </w:rPr>
        <w:t>Первая составляющая новизны - единый data contract для публичных и локальных данных. Все клипы приводятся к одинаковому формату [T,21,3] + mask + confidence, что позволяет сравнивать модели и выполнять локальную адаптацию без смены архитектуры.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sz w:val="28"/>
        </w:rPr>
        <w:t>Вторая составляющая - разделение recognition и interaction. Accuracy и macro F1 фиксируют качество классификатора, но пользовательский результат зависит от того, какие действия реально дошли до AR-сцены. Поэтому C2 рассматривается как самостоятельный исследуемый компонент, а не как техническая мелочь frontend.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sz w:val="28"/>
        </w:rPr>
        <w:t>Третья составляющая - Windows-first воспроизводимость. Проект уже содержит CLI, тесты, артефакты, отчеты и ONNX-экспорт. Это снижает риск, что результат диссертации окажется только демонстрацией на одной машине без возможности повторения экспериментов.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sz w:val="28"/>
        </w:rPr>
        <w:t>Ограничения также нужно фиксировать честно. Пока отсутствуют validation split и early stopping для TCN, C2 не прошел полноценную task-level пользовательскую оценку, локальные клипы для C2+Local еще не собраны, Core ML переносимость не доведена до финальной iOS-сборки, а live-сессия пока подтверждает технический stream, но не финальное качество жестового взаимодействия.</w:t>
      </w:r>
    </w:p>
    <w:p>
      <w:pPr>
        <w:pStyle w:val="Heading1"/>
        <w:ind w:firstLine="0"/>
        <w:jc w:val="center"/>
      </w:pPr>
      <w:r>
        <w:t>ЗАКЛЮЧЕНИЕ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sz w:val="28"/>
        </w:rPr>
        <w:t>В ходе текущего этапа выполнен переход от концептуального описания mid-air AR взаимодействия к работающему исследовательскому pipeline. Подготовлен публичный benchmark на основе IPN Hand, реализовано единое представление landmarks, обучены и сравнены варианты C0, C1 и C1-T, создан context-aware слой C2, выполнен ONNX-экспорт и запущен live AR контур.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sz w:val="28"/>
        </w:rPr>
        <w:t>Главный экспериментальный результат текущего среза - C1-T compact TCN на полном IPN test split достигает accuracy 0.9061, macro F1 0.8504 и p95 offline latency 3.912 ms. Это делает его более подходящим вариантом для AR-интерактивности, чем random forest: RF близок по accuracy, но уступает по macro F1 и существенно медленнее.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sz w:val="28"/>
        </w:rPr>
        <w:t>Научная рамка магистерской работы уточнена: исследование должно доказывать не только повышение точности распознавания, но и влияние temporal recognition и context-aware action policy на практические interaction-level метрики. Поэтому следующими шагами являются validation split, early stopping, локальная запись 25-50 клипов, C2+Local adaptation, scripted task replay и пользовательская оценка Direct Control против C2 Gate.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sz w:val="28"/>
        </w:rPr>
        <w:t>Документ не является финальной диссертацией, но служит рабочим фиксатором состояния проекта и может использоваться как основа для последующей полной магистерской редакции.</w:t>
      </w:r>
    </w:p>
    <w:p>
      <w:pPr>
        <w:pStyle w:val="Heading1"/>
        <w:ind w:firstLine="0"/>
        <w:jc w:val="center"/>
      </w:pPr>
      <w:r>
        <w:t>СПИСОК ИСПОЛЬЗОВАННЫХ ИСТОЧНИКОВ</w:t>
      </w:r>
    </w:p>
    <w:p>
      <w:pPr>
        <w:spacing w:line="360" w:lineRule="auto"/>
        <w:ind w:firstLine="0" w:left="425"/>
      </w:pPr>
      <w:r>
        <w:rPr>
          <w:rFonts w:ascii="Times New Roman" w:hAnsi="Times New Roman" w:eastAsia="Times New Roman"/>
          <w:sz w:val="24"/>
        </w:rPr>
        <w:t>1. Koutsabasis P., Vogiatzidakis P. Empirical Research in Mid-Air Interaction: A Systematic Review // International Journal of Human-Computer Interaction. 2019. Vol. 35, No. 18. P. 1747-1768.</w:t>
      </w:r>
    </w:p>
    <w:p>
      <w:pPr>
        <w:spacing w:line="360" w:lineRule="auto"/>
        <w:ind w:firstLine="0" w:left="425"/>
      </w:pPr>
      <w:r>
        <w:rPr>
          <w:rFonts w:ascii="Times New Roman" w:hAnsi="Times New Roman" w:eastAsia="Times New Roman"/>
          <w:sz w:val="24"/>
        </w:rPr>
        <w:t>2. Nguyen R., Gouin-Vallerand C., Amiri M. Hand interaction designs in mixed and augmented reality head mounted display: a scoping review and classification // Frontiers in Virtual Reality. 2023. Vol. 4. Article 1171230.</w:t>
      </w:r>
    </w:p>
    <w:p>
      <w:pPr>
        <w:spacing w:line="360" w:lineRule="auto"/>
        <w:ind w:firstLine="0" w:left="425"/>
      </w:pPr>
      <w:r>
        <w:rPr>
          <w:rFonts w:ascii="Times New Roman" w:hAnsi="Times New Roman" w:eastAsia="Times New Roman"/>
          <w:sz w:val="24"/>
        </w:rPr>
        <w:t>3. Gavgiotaki D., Ntoa S., Margetis G., Apostolakis K.C., Stephanidis C. Gesture-based Interaction for AR Systems: A Short Review // PETRA '23. 2023. P. 284-292.</w:t>
      </w:r>
    </w:p>
    <w:p>
      <w:pPr>
        <w:spacing w:line="360" w:lineRule="auto"/>
        <w:ind w:firstLine="0" w:left="425"/>
      </w:pPr>
      <w:r>
        <w:rPr>
          <w:rFonts w:ascii="Times New Roman" w:hAnsi="Times New Roman" w:eastAsia="Times New Roman"/>
          <w:sz w:val="24"/>
        </w:rPr>
        <w:t>4. Herbert O.M. et al. Static and Dynamic Hand Gestures: A Review of Techniques of Virtual Reality Manipulation // Sensors. 2024. Vol. 24, No. 12. Article 3760.</w:t>
      </w:r>
    </w:p>
    <w:p>
      <w:pPr>
        <w:spacing w:line="360" w:lineRule="auto"/>
        <w:ind w:firstLine="0" w:left="425"/>
      </w:pPr>
      <w:r>
        <w:rPr>
          <w:rFonts w:ascii="Times New Roman" w:hAnsi="Times New Roman" w:eastAsia="Times New Roman"/>
          <w:sz w:val="24"/>
        </w:rPr>
        <w:t>5. Wang P., Wang S., Wang Y., Billinghurst M., Yang H. et al. Exploring the Role of Hand Gestures in AR/MR Remote Collaboration for Industry: A State-of-the-Art Review // Results in Engineering. 2025. Vol. 28. Article 107655.</w:t>
      </w:r>
    </w:p>
    <w:p>
      <w:pPr>
        <w:spacing w:line="360" w:lineRule="auto"/>
        <w:ind w:firstLine="0" w:left="425"/>
      </w:pPr>
      <w:r>
        <w:rPr>
          <w:rFonts w:ascii="Times New Roman" w:hAnsi="Times New Roman" w:eastAsia="Times New Roman"/>
          <w:sz w:val="24"/>
        </w:rPr>
        <w:t>6. Piumsomboon T., Clark A., Billinghurst M., Cockburn A. User-Defined Gestures for Augmented Reality // INTERACT 2013. LNCS 8118. P. 282-299.</w:t>
      </w:r>
    </w:p>
    <w:p>
      <w:pPr>
        <w:spacing w:line="360" w:lineRule="auto"/>
        <w:ind w:firstLine="0" w:left="425"/>
      </w:pPr>
      <w:r>
        <w:rPr>
          <w:rFonts w:ascii="Times New Roman" w:hAnsi="Times New Roman" w:eastAsia="Times New Roman"/>
          <w:sz w:val="24"/>
        </w:rPr>
        <w:t>7. Sluÿters A., Sellier Q., Nigay L. Consistent, Continuous, and Customizable Mid-Air Gesture Interaction for Browsing Multimedia Objects on Large Displays // International Journal of Human-Computer Interaction. 2023. Vol. 39, No. 1. P. 1-23.</w:t>
      </w:r>
    </w:p>
    <w:p>
      <w:pPr>
        <w:spacing w:line="360" w:lineRule="auto"/>
        <w:ind w:firstLine="0" w:left="425"/>
      </w:pPr>
      <w:r>
        <w:rPr>
          <w:rFonts w:ascii="Times New Roman" w:hAnsi="Times New Roman" w:eastAsia="Times New Roman"/>
          <w:sz w:val="24"/>
        </w:rPr>
        <w:t>8. Ackad M., Schneider O., Isenberg O., Graham T.C.N., Klokmose C. An In-the-Wild Study of Learning Mid-Air Gestures to Browse a Hierarchical Information Space // CHI '15. 2015. P. 1329-1338.</w:t>
      </w:r>
    </w:p>
    <w:p>
      <w:pPr>
        <w:spacing w:line="360" w:lineRule="auto"/>
        <w:ind w:firstLine="0" w:left="425"/>
      </w:pPr>
      <w:r>
        <w:rPr>
          <w:rFonts w:ascii="Times New Roman" w:hAnsi="Times New Roman" w:eastAsia="Times New Roman"/>
          <w:sz w:val="24"/>
        </w:rPr>
        <w:t>9. Buchmann V., Violich S., Billinghurst M., Cockburn A. FingARtips: Gesture Based Direct Manipulation in Augmented Reality // GRAPHITE '04. 2004. P. 212-221.</w:t>
      </w:r>
    </w:p>
    <w:p>
      <w:pPr>
        <w:spacing w:line="360" w:lineRule="auto"/>
        <w:ind w:firstLine="0" w:left="425"/>
      </w:pPr>
      <w:r>
        <w:rPr>
          <w:rFonts w:ascii="Times New Roman" w:hAnsi="Times New Roman" w:eastAsia="Times New Roman"/>
          <w:sz w:val="24"/>
        </w:rPr>
        <w:t>10. Lee J.Y., Rhee G.W., Seo D.W. Hand Gesture-Based Tangible Interactions for Manipulating Virtual Objects in a Mixed Reality Environment // International Journal of Advanced Manufacturing Technology. 2010. Vol. 51. P. 1069-1082.</w:t>
      </w:r>
    </w:p>
    <w:p>
      <w:pPr>
        <w:spacing w:line="360" w:lineRule="auto"/>
        <w:ind w:firstLine="0" w:left="425"/>
      </w:pPr>
      <w:r>
        <w:rPr>
          <w:rFonts w:ascii="Times New Roman" w:hAnsi="Times New Roman" w:eastAsia="Times New Roman"/>
          <w:sz w:val="24"/>
        </w:rPr>
        <w:t>11. Hürst W., van Wezel C. Gesture-Based Interaction via Finger Tracking for Mobile Augmented Reality // Multimedia Tools and Applications. 2013. Vol. 62. P. 233-258.</w:t>
      </w:r>
    </w:p>
    <w:p>
      <w:pPr>
        <w:spacing w:line="360" w:lineRule="auto"/>
        <w:ind w:firstLine="0" w:left="425"/>
      </w:pPr>
      <w:r>
        <w:rPr>
          <w:rFonts w:ascii="Times New Roman" w:hAnsi="Times New Roman" w:eastAsia="Times New Roman"/>
          <w:sz w:val="24"/>
        </w:rPr>
        <w:t>12. Radkowski R., Herrema J., Oliver G. Interactive Hand-Gesture-Based Assembly for Augmented Reality // International Journal of Human-Computer Interaction. 2012. Vol. 28, No. 8. P. 1-15.</w:t>
      </w:r>
    </w:p>
    <w:p>
      <w:pPr>
        <w:spacing w:line="360" w:lineRule="auto"/>
        <w:ind w:firstLine="0" w:left="425"/>
      </w:pPr>
      <w:r>
        <w:rPr>
          <w:rFonts w:ascii="Times New Roman" w:hAnsi="Times New Roman" w:eastAsia="Times New Roman"/>
          <w:sz w:val="24"/>
        </w:rPr>
        <w:t>13. Sun W. et al. Tangible and Mid-Air Interactions in Hand-Held Augmented Reality for Upper Limb Rehabilitation: An Evaluation of User Experience and Motor Performance // International Journal of Advanced Manufacturing Technology. 2024.</w:t>
      </w:r>
    </w:p>
    <w:p>
      <w:pPr>
        <w:spacing w:line="360" w:lineRule="auto"/>
        <w:ind w:firstLine="0" w:left="425"/>
      </w:pPr>
      <w:r>
        <w:rPr>
          <w:rFonts w:ascii="Times New Roman" w:hAnsi="Times New Roman" w:eastAsia="Times New Roman"/>
          <w:sz w:val="24"/>
        </w:rPr>
        <w:t>14. Lystbæk M.N., Rosenberg P., Pfeuffer K., Grønbæk J.E., Gellersen H. Gaze-Hand Alignment: Combining Eye Gaze and Mid-Air Pointing for Interacting with Menus in Augmented Reality // Proceedings of the ACM on Human-Computer Interaction. 2022. Vol. 6, ETRA. Article 145.</w:t>
      </w:r>
    </w:p>
    <w:p>
      <w:pPr>
        <w:spacing w:line="360" w:lineRule="auto"/>
        <w:ind w:firstLine="0" w:left="425"/>
      </w:pPr>
      <w:r>
        <w:rPr>
          <w:rFonts w:ascii="Times New Roman" w:hAnsi="Times New Roman" w:eastAsia="Times New Roman"/>
          <w:sz w:val="24"/>
        </w:rPr>
        <w:t>15. Pourmemar S., Ng R.M.Y., Levin D.I.W., Stuerzlinger W. Predicting Human Performance in Vertical Hierarchical Menu Selection in Immersive Augmented Reality Using Hand-Gesture and Head-Gaze // IEEE VR. 2022. P. 28-37.</w:t>
      </w:r>
    </w:p>
    <w:p>
      <w:pPr>
        <w:spacing w:line="360" w:lineRule="auto"/>
        <w:ind w:firstLine="0" w:left="425"/>
      </w:pPr>
      <w:r>
        <w:rPr>
          <w:rFonts w:ascii="Times New Roman" w:hAnsi="Times New Roman" w:eastAsia="Times New Roman"/>
          <w:sz w:val="24"/>
        </w:rPr>
        <w:t>16. Van den Bogaert L., Geerts D. User-Defined Mid-Air Haptic Sensations for Interacting with an AR Menu Environment // EuroHaptics 2020. LNCS 12272. P. 25-32.</w:t>
      </w:r>
    </w:p>
    <w:p>
      <w:pPr>
        <w:spacing w:line="360" w:lineRule="auto"/>
        <w:ind w:firstLine="0" w:left="425"/>
      </w:pPr>
      <w:r>
        <w:rPr>
          <w:rFonts w:ascii="Times New Roman" w:hAnsi="Times New Roman" w:eastAsia="Times New Roman"/>
          <w:sz w:val="24"/>
        </w:rPr>
        <w:t>17. Satriadi K.A., Ens B., Cordeil M., Czauderna T., Willett W., Jenny B. Augmented Reality Map Navigation with Freehand Gestures // IEEE VR. 2019. P. 593-603.</w:t>
      </w:r>
    </w:p>
    <w:p>
      <w:pPr>
        <w:spacing w:line="360" w:lineRule="auto"/>
        <w:ind w:firstLine="0" w:left="425"/>
      </w:pPr>
      <w:r>
        <w:rPr>
          <w:rFonts w:ascii="Times New Roman" w:hAnsi="Times New Roman" w:eastAsia="Times New Roman"/>
          <w:sz w:val="24"/>
        </w:rPr>
        <w:t>18. Kostic Z., Dumas C., Pratt S., Beyer J. Exploring Mid-Air Hand Interaction in Data Visualization // IEEE Transactions on Visualization and Computer Graphics. 2024. Vol. 30, No. 9. P. 1-15.</w:t>
      </w:r>
    </w:p>
    <w:p>
      <w:pPr>
        <w:spacing w:line="360" w:lineRule="auto"/>
        <w:ind w:firstLine="0" w:left="425"/>
      </w:pPr>
      <w:r>
        <w:rPr>
          <w:rFonts w:ascii="Times New Roman" w:hAnsi="Times New Roman" w:eastAsia="Times New Roman"/>
          <w:sz w:val="24"/>
        </w:rPr>
        <w:t>19. Hincapié-Ramos J.D., Guo X., Moghadasian P., Irani P. Consumed Endurance: A Metric to Quantify Arm Fatigue of Mid-Air Interactions // CHI '14. 2014. P. 1063-1072.</w:t>
      </w:r>
    </w:p>
    <w:p>
      <w:pPr>
        <w:spacing w:line="360" w:lineRule="auto"/>
        <w:ind w:firstLine="0" w:left="425"/>
      </w:pPr>
      <w:r>
        <w:rPr>
          <w:rFonts w:ascii="Times New Roman" w:hAnsi="Times New Roman" w:eastAsia="Times New Roman"/>
          <w:sz w:val="24"/>
        </w:rPr>
        <w:t>20. Cheema N. et al. Predicting Mid-Air Interaction Movements and Fatigue Using Deep Reinforcement Learning // CHI '20. 2020. P. 1-13.</w:t>
      </w:r>
    </w:p>
    <w:p>
      <w:pPr>
        <w:spacing w:line="360" w:lineRule="auto"/>
        <w:ind w:firstLine="0" w:left="425"/>
      </w:pPr>
      <w:r>
        <w:rPr>
          <w:rFonts w:ascii="Times New Roman" w:hAnsi="Times New Roman" w:eastAsia="Times New Roman"/>
          <w:sz w:val="24"/>
        </w:rPr>
        <w:t>21. Li X., Han F., Sun X., Liu Y., Li Y., Chen Y. Bracelet: Arms-Down Selection for Kinect Mid-Air Gesture // Behaviour &amp; Information Technology. 2019. Vol. 38, No. 4. P. 401-409.</w:t>
      </w:r>
    </w:p>
    <w:p>
      <w:pPr>
        <w:spacing w:line="360" w:lineRule="auto"/>
        <w:ind w:firstLine="0" w:left="425"/>
      </w:pPr>
      <w:r>
        <w:rPr>
          <w:rFonts w:ascii="Times New Roman" w:hAnsi="Times New Roman" w:eastAsia="Times New Roman"/>
          <w:sz w:val="24"/>
        </w:rPr>
        <w:t>22. Reynaert V., Rekik Y., Berthaut F., Grisoni L. The Effect of Hands Synchronicity on Users Perceived Arms Fatigue in Virtual Reality Environment // International Journal of Human-Computer Studies. 2023. Vol. 177. Article 103092.</w:t>
      </w:r>
    </w:p>
    <w:p>
      <w:pPr>
        <w:spacing w:line="360" w:lineRule="auto"/>
        <w:ind w:firstLine="0" w:left="425"/>
      </w:pPr>
      <w:r>
        <w:rPr>
          <w:rFonts w:ascii="Times New Roman" w:hAnsi="Times New Roman" w:eastAsia="Times New Roman"/>
          <w:sz w:val="24"/>
        </w:rPr>
        <w:t>23. Schön D., Menges A., Otterness N. Assessing Rotational Mid-Air Interactions for Augmented Reality // CHI '23. 2023. P. 1-15.</w:t>
      </w:r>
    </w:p>
    <w:p>
      <w:pPr>
        <w:spacing w:line="360" w:lineRule="auto"/>
        <w:ind w:firstLine="0" w:left="425"/>
      </w:pPr>
      <w:r>
        <w:rPr>
          <w:rFonts w:ascii="Times New Roman" w:hAnsi="Times New Roman" w:eastAsia="Times New Roman"/>
          <w:sz w:val="24"/>
        </w:rPr>
        <w:t>24. Żywanowski K., Łysakowski M., Nowicki M.R. et al. Vision-Based Hand Pose Estimation Methods for Augmented Reality in Industry: Crowdsourced Evaluation on HoloLens 2 // Computers in Industry. 2025. Vol. 171. Article 104328.</w:t>
      </w:r>
    </w:p>
    <w:p>
      <w:pPr>
        <w:spacing w:line="360" w:lineRule="auto"/>
        <w:ind w:firstLine="0" w:left="425"/>
      </w:pPr>
      <w:r>
        <w:rPr>
          <w:rFonts w:ascii="Times New Roman" w:hAnsi="Times New Roman" w:eastAsia="Times New Roman"/>
          <w:sz w:val="24"/>
        </w:rPr>
        <w:t>25. Bertolasi J., Garcia-Hernandez N.V., Memeo M., Guarischi M., Gori M. Evaluation of HoloLens 2 for Hand Tracking and Kinematic Features Assessment // Virtual Worlds. 2025. Vol. 4, No. 3. Article 31.</w:t>
      </w:r>
    </w:p>
    <w:p>
      <w:pPr>
        <w:spacing w:line="360" w:lineRule="auto"/>
        <w:ind w:firstLine="0" w:left="425"/>
      </w:pPr>
      <w:r>
        <w:rPr>
          <w:rFonts w:ascii="Times New Roman" w:hAnsi="Times New Roman" w:eastAsia="Times New Roman"/>
          <w:sz w:val="24"/>
        </w:rPr>
        <w:t>26. Benitez-Garcia G., Olivares-Mercado J., Sanchez-Perez G., Yanai K. IPN Hand: A Video Dataset and Benchmark for Real-Time Continuous Hand Gesture Recognition // ICPR 2020. 2021. P. 4340-4347.</w:t>
      </w:r>
    </w:p>
    <w:p>
      <w:pPr>
        <w:spacing w:line="360" w:lineRule="auto"/>
        <w:ind w:firstLine="0" w:left="425"/>
      </w:pPr>
      <w:r>
        <w:rPr>
          <w:rFonts w:ascii="Times New Roman" w:hAnsi="Times New Roman" w:eastAsia="Times New Roman"/>
          <w:sz w:val="24"/>
        </w:rPr>
        <w:t>27. Zhang F., Bazarevsky V., Vakunov A., Tkachenka A., Sung G., Chang C.-L., Grundmann M. MediaPipe Hands: On-device Real-time Hand Tracking. arXiv:2006.10214. 2020.</w:t>
      </w:r>
    </w:p>
    <w:p>
      <w:pPr>
        <w:spacing w:line="360" w:lineRule="auto"/>
        <w:ind w:firstLine="0" w:left="425"/>
      </w:pPr>
      <w:r>
        <w:rPr>
          <w:rFonts w:ascii="Times New Roman" w:hAnsi="Times New Roman" w:eastAsia="Times New Roman"/>
          <w:sz w:val="24"/>
        </w:rPr>
        <w:t>28. Google AI Edge. Hand landmarks detection guide: MediaPipe Hand Landmarker. Last updated 2026-04-21. URL: https://ai.google.dev/edge/mediapipe/solutions/vision/hand_landmarker</w:t>
      </w:r>
    </w:p>
    <w:p>
      <w:pPr>
        <w:spacing w:line="360" w:lineRule="auto"/>
        <w:ind w:firstLine="0" w:left="425"/>
      </w:pPr>
      <w:r>
        <w:rPr>
          <w:rFonts w:ascii="Times New Roman" w:hAnsi="Times New Roman" w:eastAsia="Times New Roman"/>
          <w:sz w:val="24"/>
        </w:rPr>
        <w:t>29. Bai S., Kolter J.Z., Koltun V. An Empirical Evaluation of Generic Convolutional and Recurrent Networks for Sequence Modeling. 2018. URL: https://vladlen.info/papers/TCN.pdf</w:t>
      </w:r>
    </w:p>
    <w:p>
      <w:pPr>
        <w:spacing w:line="360" w:lineRule="auto"/>
        <w:ind w:firstLine="0" w:left="425"/>
      </w:pPr>
      <w:r>
        <w:rPr>
          <w:rFonts w:ascii="Times New Roman" w:hAnsi="Times New Roman" w:eastAsia="Times New Roman"/>
          <w:sz w:val="24"/>
        </w:rPr>
        <w:t>30. Chang C.-L., Uboweja E., Sung G., Sokal K., Grundmann M., Bazarevsky V. On-device Real-time Hand Gesture Recognition // ICCV Workshop on Computer Vision for Augmented and Virtual Reality. 2021.</w:t>
      </w:r>
    </w:p>
    <w:p>
      <w:pPr>
        <w:spacing w:line="360" w:lineRule="auto"/>
        <w:ind w:firstLine="0" w:left="425"/>
      </w:pPr>
      <w:r>
        <w:rPr>
          <w:rFonts w:ascii="Times New Roman" w:hAnsi="Times New Roman" w:eastAsia="Times New Roman"/>
          <w:sz w:val="24"/>
        </w:rPr>
        <w:t>31. Benitez-Garcia G., Olivares-Mercado J., Sanchez-Perez G., Takahashi H. IPN HandS: Efficient Annotation Tool and Dataset for Skeleton-Based Hand Gesture Recognition // Applied Sciences. 2025. Vol. 15, No. 11. Article 6321.</w:t>
      </w:r>
    </w:p>
    <w:p>
      <w:pPr>
        <w:spacing w:line="360" w:lineRule="auto"/>
        <w:ind w:firstLine="0" w:left="425"/>
      </w:pPr>
      <w:r>
        <w:rPr>
          <w:rFonts w:ascii="Times New Roman" w:hAnsi="Times New Roman" w:eastAsia="Times New Roman"/>
          <w:sz w:val="24"/>
        </w:rPr>
        <w:t>32. Warchocki J., Vlasenko M., Eisma Y.B. GRLib: An Open-Source Hand Gesture Detection and Recognition Python Library. arXiv:2310.14919. 2023.</w:t>
      </w:r>
    </w:p>
    <w:p>
      <w:pPr>
        <w:spacing w:line="360" w:lineRule="auto"/>
        <w:ind w:firstLine="0" w:left="425"/>
      </w:pPr>
      <w:r>
        <w:rPr>
          <w:rFonts w:ascii="Times New Roman" w:hAnsi="Times New Roman" w:eastAsia="Times New Roman"/>
          <w:sz w:val="24"/>
        </w:rPr>
        <w:t>33. Noparlik R., Zdunek R. Hand Gesture Recognition System with Finite State Machine for Remote Desktop Control // SPLITECH. 2023.</w:t>
      </w:r>
    </w:p>
    <w:p>
      <w:pPr>
        <w:spacing w:line="360" w:lineRule="auto"/>
        <w:ind w:firstLine="0" w:left="425"/>
      </w:pPr>
      <w:r>
        <w:rPr>
          <w:rFonts w:ascii="Times New Roman" w:hAnsi="Times New Roman" w:eastAsia="Times New Roman"/>
          <w:sz w:val="24"/>
        </w:rPr>
        <w:t>34. ONNX Runtime. CUDA Execution Provider documentation. URL: https://onnxruntime.ai/docs/execution-providers/CUDA-ExecutionProvider.html</w:t>
      </w:r>
    </w:p>
    <w:p>
      <w:pPr>
        <w:spacing w:line="360" w:lineRule="auto"/>
        <w:ind w:firstLine="0" w:left="425"/>
      </w:pPr>
      <w:r>
        <w:rPr>
          <w:rFonts w:ascii="Times New Roman" w:hAnsi="Times New Roman" w:eastAsia="Times New Roman"/>
          <w:sz w:val="24"/>
        </w:rPr>
        <w:t>35. Apple. Core ML Tools: PyTorch Conversion Workflow. URL: https://apple.github.io/coremltools/docs-guides/source/convert-pytorch-workflow.html</w:t>
      </w:r>
    </w:p>
    <w:p>
      <w:pPr>
        <w:spacing w:line="360" w:lineRule="auto"/>
        <w:ind w:firstLine="0" w:left="425"/>
      </w:pPr>
      <w:r>
        <w:rPr>
          <w:rFonts w:ascii="Times New Roman" w:hAnsi="Times New Roman" w:eastAsia="Times New Roman"/>
          <w:sz w:val="24"/>
        </w:rPr>
        <w:t>36. PyTorch. Get Started: Installing on Windows. URL: https://pytorch.org/get-started/locally/</w:t>
      </w:r>
    </w:p>
    <w:sectPr w:rsidR="00FC693F" w:rsidRPr="0006063C" w:rsidSect="00034616">
      <w:footerReference w:type="default" r:id="rId9"/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  <w:ind w:firstLine="709"/>
      <w:jc w:val="both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ind w:firstLine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ind w:firstLine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1F4E79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ind w:firstLine="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1F4E79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Рабочий отчет магистерской диссертации по проекту Hand Gestures</dc:title>
  <dc:subject>Context-Aware Temporal Landmark Gesture Recognition for AR Interaction</dc:subject>
  <dc:creator>Южаков М.В.</dc:creator>
  <cp:keywords>AR, hand gestures, MediaPipe, IPN Hand, TCN, ONNX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