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Calibri"/>
          <w:b/>
          <w:color w:val="0B2545"/>
          <w:sz w:val="52"/>
        </w:rPr>
        <w:t>Gesture AR Project State Report</w:t>
      </w:r>
    </w:p>
    <w:p>
      <w:pPr>
        <w:spacing w:after="360"/>
      </w:pPr>
      <w:r>
        <w:rPr>
          <w:rFonts w:ascii="Calibri" w:hAnsi="Calibri" w:eastAsia="Calibri"/>
          <w:color w:val="5F5F5F"/>
          <w:sz w:val="26"/>
        </w:rPr>
        <w:t>Work description, current system state, and target development path</w:t>
      </w:r>
    </w:p>
    <w:tbl>
      <w:tblPr>
        <w:tblStyle w:val="TableGrid"/>
        <w:tblW w:type="auto" w:w="0"/>
        <w:jc w:val="center"/>
        <w:tblLayout w:type="fixed"/>
        <w:tblLook w:firstColumn="1" w:firstRow="1" w:lastColumn="0" w:lastRow="0" w:noHBand="0" w:noVBand="1" w:val="04A0"/>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Pr>
      <w:tblGrid>
        <w:gridCol w:w="4680"/>
        <w:gridCol w:w="4680"/>
      </w:tblGrid>
      <w:tr>
        <w:trPr>
          <w:tblHeader w:val="true"/>
          <w:cantSplit/>
        </w:trPr>
        <w:tc>
          <w:tcPr>
            <w:tcW w:type="dxa" w:w="2268"/>
            <w:tcMar>
              <w:top w:w="80" w:type="dxa"/>
              <w:bottom w:w="80" w:type="dxa"/>
              <w:start w:w="120" w:type="dxa"/>
              <w:end w:w="120" w:type="dxa"/>
            </w:tcMar>
            <w:vAlign w:val="center"/>
            <w:shd w:fill="F2F4F7"/>
          </w:tcPr>
          <w:p>
            <w:pPr>
              <w:spacing w:after="0" w:line="240" w:lineRule="auto"/>
              <w:jc w:val="center"/>
            </w:pPr>
            <w:r/>
            <w:r>
              <w:rPr>
                <w:rFonts w:ascii="Calibri" w:hAnsi="Calibri" w:eastAsia="Calibri"/>
                <w:b/>
                <w:sz w:val="20"/>
              </w:rPr>
              <w:t>Field</w:t>
            </w:r>
          </w:p>
        </w:tc>
        <w:tc>
          <w:tcPr>
            <w:tcW w:type="dxa" w:w="6690"/>
            <w:tcMar>
              <w:top w:w="80" w:type="dxa"/>
              <w:bottom w:w="80" w:type="dxa"/>
              <w:start w:w="120" w:type="dxa"/>
              <w:end w:w="120" w:type="dxa"/>
            </w:tcMar>
            <w:vAlign w:val="center"/>
            <w:shd w:fill="F2F4F7"/>
          </w:tcPr>
          <w:p>
            <w:pPr>
              <w:spacing w:after="0" w:line="240" w:lineRule="auto"/>
              <w:jc w:val="center"/>
            </w:pPr>
            <w:r/>
            <w:r>
              <w:rPr>
                <w:rFonts w:ascii="Calibri" w:hAnsi="Calibri" w:eastAsia="Calibri"/>
                <w:b/>
                <w:sz w:val="20"/>
              </w:rPr>
              <w:t>Value</w:t>
            </w:r>
          </w:p>
        </w:tc>
      </w:tr>
      <w:tr>
        <w:trPr>
          <w:cantSplit/>
        </w:trPr>
        <w:tc>
          <w:tcPr>
            <w:tcW w:type="dxa" w:w="2268"/>
            <w:tcMar>
              <w:top w:w="80" w:type="dxa"/>
              <w:bottom w:w="80" w:type="dxa"/>
              <w:start w:w="120" w:type="dxa"/>
              <w:end w:w="120" w:type="dxa"/>
            </w:tcMar>
            <w:vAlign w:val="center"/>
          </w:tcPr>
          <w:p>
            <w:pPr>
              <w:spacing w:after="0" w:line="240" w:lineRule="auto"/>
              <w:jc w:val="center"/>
            </w:pPr>
            <w:r/>
            <w:r>
              <w:rPr>
                <w:rFonts w:ascii="Calibri" w:hAnsi="Calibri" w:eastAsia="Calibri"/>
                <w:b w:val="0"/>
                <w:sz w:val="20"/>
              </w:rPr>
              <w:t>Project</w:t>
            </w:r>
          </w:p>
        </w:tc>
        <w:tc>
          <w:tcPr>
            <w:tcW w:type="dxa" w:w="6690"/>
            <w:tcMar>
              <w:top w:w="80" w:type="dxa"/>
              <w:bottom w:w="80" w:type="dxa"/>
              <w:start w:w="120" w:type="dxa"/>
              <w:end w:w="120" w:type="dxa"/>
            </w:tcMar>
            <w:vAlign w:val="center"/>
          </w:tcPr>
          <w:p>
            <w:pPr>
              <w:spacing w:after="0" w:line="240" w:lineRule="auto"/>
              <w:jc w:val="left"/>
            </w:pPr>
            <w:r/>
            <w:r>
              <w:rPr>
                <w:rFonts w:ascii="Calibri" w:hAnsi="Calibri" w:eastAsia="Calibri"/>
                <w:b w:val="0"/>
                <w:sz w:val="20"/>
              </w:rPr>
              <w:t>Context-Aware Temporal Landmark Gesture Recognition for AR Interaction</w:t>
            </w:r>
          </w:p>
        </w:tc>
      </w:tr>
      <w:tr>
        <w:trPr>
          <w:cantSplit/>
        </w:trPr>
        <w:tc>
          <w:tcPr>
            <w:tcW w:type="dxa" w:w="2268"/>
            <w:tcMar>
              <w:top w:w="80" w:type="dxa"/>
              <w:bottom w:w="80" w:type="dxa"/>
              <w:start w:w="120" w:type="dxa"/>
              <w:end w:w="120" w:type="dxa"/>
            </w:tcMar>
            <w:vAlign w:val="center"/>
          </w:tcPr>
          <w:p>
            <w:pPr>
              <w:spacing w:after="0" w:line="240" w:lineRule="auto"/>
              <w:jc w:val="center"/>
            </w:pPr>
            <w:r/>
            <w:r>
              <w:rPr>
                <w:rFonts w:ascii="Calibri" w:hAnsi="Calibri" w:eastAsia="Calibri"/>
                <w:b w:val="0"/>
                <w:sz w:val="20"/>
              </w:rPr>
              <w:t>Prepared for</w:t>
            </w:r>
          </w:p>
        </w:tc>
        <w:tc>
          <w:tcPr>
            <w:tcW w:type="dxa" w:w="6690"/>
            <w:tcMar>
              <w:top w:w="80" w:type="dxa"/>
              <w:bottom w:w="80" w:type="dxa"/>
              <w:start w:w="120" w:type="dxa"/>
              <w:end w:w="120" w:type="dxa"/>
            </w:tcMar>
            <w:vAlign w:val="center"/>
          </w:tcPr>
          <w:p>
            <w:pPr>
              <w:spacing w:after="0" w:line="240" w:lineRule="auto"/>
              <w:jc w:val="left"/>
            </w:pPr>
            <w:r/>
            <w:r>
              <w:rPr>
                <w:rFonts w:ascii="Calibri" w:hAnsi="Calibri" w:eastAsia="Calibri"/>
                <w:b w:val="0"/>
                <w:sz w:val="20"/>
              </w:rPr>
              <w:t>Current research and thesis planning snapshot</w:t>
            </w:r>
          </w:p>
        </w:tc>
      </w:tr>
      <w:tr>
        <w:trPr>
          <w:cantSplit/>
        </w:trPr>
        <w:tc>
          <w:tcPr>
            <w:tcW w:type="dxa" w:w="2268"/>
            <w:tcMar>
              <w:top w:w="80" w:type="dxa"/>
              <w:bottom w:w="80" w:type="dxa"/>
              <w:start w:w="120" w:type="dxa"/>
              <w:end w:w="120" w:type="dxa"/>
            </w:tcMar>
            <w:vAlign w:val="center"/>
          </w:tcPr>
          <w:p>
            <w:pPr>
              <w:spacing w:after="0" w:line="240" w:lineRule="auto"/>
              <w:jc w:val="center"/>
            </w:pPr>
            <w:r/>
            <w:r>
              <w:rPr>
                <w:rFonts w:ascii="Calibri" w:hAnsi="Calibri" w:eastAsia="Calibri"/>
                <w:b w:val="0"/>
                <w:sz w:val="20"/>
              </w:rPr>
              <w:t>Prepared on</w:t>
            </w:r>
          </w:p>
        </w:tc>
        <w:tc>
          <w:tcPr>
            <w:tcW w:type="dxa" w:w="6690"/>
            <w:tcMar>
              <w:top w:w="80" w:type="dxa"/>
              <w:bottom w:w="80" w:type="dxa"/>
              <w:start w:w="120" w:type="dxa"/>
              <w:end w:w="120" w:type="dxa"/>
            </w:tcMar>
            <w:vAlign w:val="center"/>
          </w:tcPr>
          <w:p>
            <w:pPr>
              <w:spacing w:after="0" w:line="240" w:lineRule="auto"/>
              <w:jc w:val="center"/>
            </w:pPr>
            <w:r/>
            <w:r>
              <w:rPr>
                <w:rFonts w:ascii="Calibri" w:hAnsi="Calibri" w:eastAsia="Calibri"/>
                <w:b w:val="0"/>
                <w:sz w:val="20"/>
              </w:rPr>
              <w:t>26 May 2026</w:t>
            </w:r>
          </w:p>
        </w:tc>
      </w:tr>
      <w:tr>
        <w:trPr>
          <w:cantSplit/>
        </w:trPr>
        <w:tc>
          <w:tcPr>
            <w:tcW w:type="dxa" w:w="2268"/>
            <w:tcMar>
              <w:top w:w="80" w:type="dxa"/>
              <w:bottom w:w="80" w:type="dxa"/>
              <w:start w:w="120" w:type="dxa"/>
              <w:end w:w="120" w:type="dxa"/>
            </w:tcMar>
            <w:vAlign w:val="center"/>
          </w:tcPr>
          <w:p>
            <w:pPr>
              <w:spacing w:after="0" w:line="240" w:lineRule="auto"/>
              <w:jc w:val="center"/>
            </w:pPr>
            <w:r/>
            <w:r>
              <w:rPr>
                <w:rFonts w:ascii="Calibri" w:hAnsi="Calibri" w:eastAsia="Calibri"/>
                <w:b w:val="0"/>
                <w:sz w:val="20"/>
              </w:rPr>
              <w:t>Language</w:t>
            </w:r>
          </w:p>
        </w:tc>
        <w:tc>
          <w:tcPr>
            <w:tcW w:type="dxa" w:w="6690"/>
            <w:tcMar>
              <w:top w:w="80" w:type="dxa"/>
              <w:bottom w:w="80" w:type="dxa"/>
              <w:start w:w="120" w:type="dxa"/>
              <w:end w:w="120" w:type="dxa"/>
            </w:tcMar>
            <w:vAlign w:val="center"/>
          </w:tcPr>
          <w:p>
            <w:pPr>
              <w:spacing w:after="0" w:line="240" w:lineRule="auto"/>
              <w:jc w:val="center"/>
            </w:pPr>
            <w:r/>
            <w:r>
              <w:rPr>
                <w:rFonts w:ascii="Calibri" w:hAnsi="Calibri" w:eastAsia="Calibri"/>
                <w:b w:val="0"/>
                <w:sz w:val="20"/>
              </w:rPr>
              <w:t>English</w:t>
            </w:r>
          </w:p>
        </w:tc>
      </w:tr>
      <w:tr>
        <w:trPr>
          <w:cantSplit/>
        </w:trPr>
        <w:tc>
          <w:tcPr>
            <w:tcW w:type="dxa" w:w="2268"/>
            <w:tcMar>
              <w:top w:w="80" w:type="dxa"/>
              <w:bottom w:w="80" w:type="dxa"/>
              <w:start w:w="120" w:type="dxa"/>
              <w:end w:w="120" w:type="dxa"/>
            </w:tcMar>
            <w:vAlign w:val="center"/>
          </w:tcPr>
          <w:p>
            <w:pPr>
              <w:spacing w:after="0" w:line="240" w:lineRule="auto"/>
              <w:jc w:val="center"/>
            </w:pPr>
            <w:r/>
            <w:r>
              <w:rPr>
                <w:rFonts w:ascii="Calibri" w:hAnsi="Calibri" w:eastAsia="Calibri"/>
                <w:b w:val="0"/>
                <w:sz w:val="20"/>
              </w:rPr>
              <w:t>Design preset</w:t>
            </w:r>
          </w:p>
        </w:tc>
        <w:tc>
          <w:tcPr>
            <w:tcW w:type="dxa" w:w="6690"/>
            <w:tcMar>
              <w:top w:w="80" w:type="dxa"/>
              <w:bottom w:w="80" w:type="dxa"/>
              <w:start w:w="120" w:type="dxa"/>
              <w:end w:w="120" w:type="dxa"/>
            </w:tcMar>
            <w:vAlign w:val="center"/>
          </w:tcPr>
          <w:p>
            <w:pPr>
              <w:spacing w:after="0" w:line="240" w:lineRule="auto"/>
              <w:jc w:val="center"/>
            </w:pPr>
            <w:r/>
            <w:r>
              <w:rPr>
                <w:rFonts w:ascii="Calibri" w:hAnsi="Calibri" w:eastAsia="Calibri"/>
                <w:b w:val="0"/>
                <w:sz w:val="20"/>
              </w:rPr>
              <w:t>standard_business_brief</w:t>
            </w:r>
          </w:p>
        </w:tc>
      </w:tr>
    </w:tbl>
    <w:p/>
    <w:p>
      <w:pPr>
        <w:spacing w:line="264" w:lineRule="auto" w:after="120"/>
        <w:jc w:val="left"/>
      </w:pPr>
      <w:r>
        <w:rPr>
          <w:rFonts w:ascii="Calibri" w:hAnsi="Calibri" w:eastAsia="Calibri"/>
          <w:sz w:val="22"/>
        </w:rPr>
        <w:t>This document summarizes the current project state as a thesis-oriented engineering and research report. It is not a final dissertation chapter set; it is a structured snapshot used to describe the work, the validated system state, and the intended final target.</w:t>
      </w:r>
    </w:p>
    <w:p>
      <w:r>
        <w:br w:type="page"/>
      </w:r>
    </w:p>
    <w:p>
      <w:pPr>
        <w:pStyle w:val="Heading1"/>
      </w:pPr>
      <w:r>
        <w:t>Contents</w:t>
      </w:r>
    </w:p>
    <w:tbl>
      <w:tblPr>
        <w:tblStyle w:val="TableGrid"/>
        <w:tblW w:type="auto" w:w="0"/>
        <w:jc w:val="center"/>
        <w:tblLayout w:type="fixed"/>
        <w:tblLook w:firstColumn="1" w:firstRow="1" w:lastColumn="0" w:lastRow="0" w:noHBand="0" w:noVBand="1" w:val="04A0"/>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Pr>
      <w:tblGrid>
        <w:gridCol w:w="4680"/>
        <w:gridCol w:w="4680"/>
      </w:tblGrid>
      <w:tr>
        <w:trPr>
          <w:tblHeader w:val="true"/>
          <w:cantSplit/>
        </w:trPr>
        <w:tc>
          <w:tcPr>
            <w:tcW w:type="dxa" w:w="1134"/>
            <w:tcMar>
              <w:top w:w="80" w:type="dxa"/>
              <w:bottom w:w="80" w:type="dxa"/>
              <w:start w:w="120" w:type="dxa"/>
              <w:end w:w="120" w:type="dxa"/>
            </w:tcMar>
            <w:vAlign w:val="center"/>
            <w:shd w:fill="F2F4F7"/>
          </w:tcPr>
          <w:p>
            <w:pPr>
              <w:spacing w:after="0" w:line="240" w:lineRule="auto"/>
              <w:jc w:val="center"/>
            </w:pPr>
            <w:r/>
            <w:r>
              <w:rPr>
                <w:rFonts w:ascii="Calibri" w:hAnsi="Calibri" w:eastAsia="Calibri"/>
                <w:b/>
                <w:sz w:val="20"/>
              </w:rPr>
              <w:t>Section</w:t>
            </w:r>
          </w:p>
        </w:tc>
        <w:tc>
          <w:tcPr>
            <w:tcW w:type="dxa" w:w="7824"/>
            <w:tcMar>
              <w:top w:w="80" w:type="dxa"/>
              <w:bottom w:w="80" w:type="dxa"/>
              <w:start w:w="120" w:type="dxa"/>
              <w:end w:w="120" w:type="dxa"/>
            </w:tcMar>
            <w:vAlign w:val="center"/>
            <w:shd w:fill="F2F4F7"/>
          </w:tcPr>
          <w:p>
            <w:pPr>
              <w:spacing w:after="0" w:line="240" w:lineRule="auto"/>
              <w:jc w:val="center"/>
            </w:pPr>
            <w:r/>
            <w:r>
              <w:rPr>
                <w:rFonts w:ascii="Calibri" w:hAnsi="Calibri" w:eastAsia="Calibri"/>
                <w:b/>
                <w:sz w:val="20"/>
              </w:rPr>
              <w:t>Title</w:t>
            </w:r>
          </w:p>
        </w:tc>
      </w:tr>
      <w:tr>
        <w:trPr>
          <w:cantSplit/>
        </w:trPr>
        <w:tc>
          <w:tcPr>
            <w:tcW w:type="dxa" w:w="1134"/>
            <w:tcMar>
              <w:top w:w="80" w:type="dxa"/>
              <w:bottom w:w="80" w:type="dxa"/>
              <w:start w:w="120" w:type="dxa"/>
              <w:end w:w="120" w:type="dxa"/>
            </w:tcMar>
            <w:vAlign w:val="center"/>
          </w:tcPr>
          <w:p>
            <w:pPr>
              <w:spacing w:after="0" w:line="240" w:lineRule="auto"/>
              <w:jc w:val="center"/>
            </w:pPr>
            <w:r/>
            <w:r>
              <w:rPr>
                <w:rFonts w:ascii="Calibri" w:hAnsi="Calibri" w:eastAsia="Calibri"/>
                <w:b w:val="0"/>
                <w:sz w:val="20"/>
              </w:rPr>
              <w:t>1</w:t>
            </w:r>
          </w:p>
        </w:tc>
        <w:tc>
          <w:tcPr>
            <w:tcW w:type="dxa" w:w="7824"/>
            <w:tcMar>
              <w:top w:w="80" w:type="dxa"/>
              <w:bottom w:w="80" w:type="dxa"/>
              <w:start w:w="120" w:type="dxa"/>
              <w:end w:w="120" w:type="dxa"/>
            </w:tcMar>
            <w:vAlign w:val="center"/>
          </w:tcPr>
          <w:p>
            <w:pPr>
              <w:spacing w:after="0" w:line="240" w:lineRule="auto"/>
              <w:jc w:val="center"/>
            </w:pPr>
            <w:r/>
            <w:r>
              <w:rPr>
                <w:rFonts w:ascii="Calibri" w:hAnsi="Calibri" w:eastAsia="Calibri"/>
                <w:b w:val="0"/>
                <w:sz w:val="20"/>
              </w:rPr>
              <w:t>Work Description</w:t>
            </w:r>
          </w:p>
        </w:tc>
      </w:tr>
      <w:tr>
        <w:trPr>
          <w:cantSplit/>
        </w:trPr>
        <w:tc>
          <w:tcPr>
            <w:tcW w:type="dxa" w:w="1134"/>
            <w:tcMar>
              <w:top w:w="80" w:type="dxa"/>
              <w:bottom w:w="80" w:type="dxa"/>
              <w:start w:w="120" w:type="dxa"/>
              <w:end w:w="120" w:type="dxa"/>
            </w:tcMar>
            <w:vAlign w:val="center"/>
          </w:tcPr>
          <w:p>
            <w:pPr>
              <w:spacing w:after="0" w:line="240" w:lineRule="auto"/>
              <w:jc w:val="center"/>
            </w:pPr>
            <w:r/>
            <w:r>
              <w:rPr>
                <w:rFonts w:ascii="Calibri" w:hAnsi="Calibri" w:eastAsia="Calibri"/>
                <w:b w:val="0"/>
                <w:sz w:val="20"/>
              </w:rPr>
              <w:t>2</w:t>
            </w:r>
          </w:p>
        </w:tc>
        <w:tc>
          <w:tcPr>
            <w:tcW w:type="dxa" w:w="7824"/>
            <w:tcMar>
              <w:top w:w="80" w:type="dxa"/>
              <w:bottom w:w="80" w:type="dxa"/>
              <w:start w:w="120" w:type="dxa"/>
              <w:end w:w="120" w:type="dxa"/>
            </w:tcMar>
            <w:vAlign w:val="center"/>
          </w:tcPr>
          <w:p>
            <w:pPr>
              <w:spacing w:after="0" w:line="240" w:lineRule="auto"/>
              <w:jc w:val="center"/>
            </w:pPr>
            <w:r/>
            <w:r>
              <w:rPr>
                <w:rFonts w:ascii="Calibri" w:hAnsi="Calibri" w:eastAsia="Calibri"/>
                <w:b w:val="0"/>
                <w:sz w:val="20"/>
              </w:rPr>
              <w:t>Current System State</w:t>
            </w:r>
          </w:p>
        </w:tc>
      </w:tr>
      <w:tr>
        <w:trPr>
          <w:cantSplit/>
        </w:trPr>
        <w:tc>
          <w:tcPr>
            <w:tcW w:type="dxa" w:w="1134"/>
            <w:tcMar>
              <w:top w:w="80" w:type="dxa"/>
              <w:bottom w:w="80" w:type="dxa"/>
              <w:start w:w="120" w:type="dxa"/>
              <w:end w:w="120" w:type="dxa"/>
            </w:tcMar>
            <w:vAlign w:val="center"/>
          </w:tcPr>
          <w:p>
            <w:pPr>
              <w:spacing w:after="0" w:line="240" w:lineRule="auto"/>
              <w:jc w:val="center"/>
            </w:pPr>
            <w:r/>
            <w:r>
              <w:rPr>
                <w:rFonts w:ascii="Calibri" w:hAnsi="Calibri" w:eastAsia="Calibri"/>
                <w:b w:val="0"/>
                <w:sz w:val="20"/>
              </w:rPr>
              <w:t>3</w:t>
            </w:r>
          </w:p>
        </w:tc>
        <w:tc>
          <w:tcPr>
            <w:tcW w:type="dxa" w:w="7824"/>
            <w:tcMar>
              <w:top w:w="80" w:type="dxa"/>
              <w:bottom w:w="80" w:type="dxa"/>
              <w:start w:w="120" w:type="dxa"/>
              <w:end w:w="120" w:type="dxa"/>
            </w:tcMar>
            <w:vAlign w:val="center"/>
          </w:tcPr>
          <w:p>
            <w:pPr>
              <w:spacing w:after="0" w:line="240" w:lineRule="auto"/>
              <w:jc w:val="left"/>
            </w:pPr>
            <w:r/>
            <w:r>
              <w:rPr>
                <w:rFonts w:ascii="Calibri" w:hAnsi="Calibri" w:eastAsia="Calibri"/>
                <w:b w:val="0"/>
                <w:sz w:val="20"/>
              </w:rPr>
              <w:t>Further Development and Final Target</w:t>
            </w:r>
          </w:p>
        </w:tc>
      </w:tr>
    </w:tbl>
    <w:p/>
    <w:p>
      <w:r>
        <w:br w:type="page"/>
      </w:r>
    </w:p>
    <w:p>
      <w:pPr>
        <w:pStyle w:val="Heading1"/>
      </w:pPr>
      <w:r>
        <w:t>1. Work Description</w:t>
      </w:r>
    </w:p>
    <w:p>
      <w:pPr>
        <w:spacing w:line="264" w:lineRule="auto" w:after="120"/>
        <w:jc w:val="left"/>
      </w:pPr>
      <w:r>
        <w:rPr>
          <w:rFonts w:ascii="Calibri" w:hAnsi="Calibri" w:eastAsia="Calibri"/>
          <w:sz w:val="22"/>
        </w:rPr>
        <w:t>The project develops a Windows-first research pipeline for context-aware gesture recognition in augmented reality. The core idea is to recognize hand gestures from temporal sequences of 21 hand landmarks, transform recognition outputs into safer AR actions, and measure the result not only by classifier accuracy but also by interaction-level risk.</w:t>
      </w:r>
    </w:p>
    <w:p>
      <w:pPr>
        <w:spacing w:line="264" w:lineRule="auto" w:after="120"/>
        <w:jc w:val="left"/>
      </w:pPr>
      <w:r>
        <w:rPr>
          <w:rFonts w:ascii="Calibri" w:hAnsi="Calibri" w:eastAsia="Calibri"/>
          <w:sz w:val="22"/>
        </w:rPr>
        <w:t>The work is structured around three layers: a temporal recognition layer, a hybrid safety layer, and an interaction policy layer. The temporal layer uses a compact TCN over normalized landmark features. The C3 Hybrid layer adds a lightweight geometry-aware prior and a safety gate. The C2 layer converts gesture predictions into AR actions only after confidence, stability, and cooldown constraints are satisfied.</w:t>
      </w:r>
    </w:p>
    <w:p>
      <w:pPr>
        <w:jc w:val="center"/>
      </w:pPr>
      <w:r>
        <w:drawing>
          <wp:inline xmlns:a="http://schemas.openxmlformats.org/drawingml/2006/main" xmlns:pic="http://schemas.openxmlformats.org/drawingml/2006/picture">
            <wp:extent cx="5943600" cy="3417570"/>
            <wp:docPr id="1" name="Picture 1"/>
            <wp:cNvGraphicFramePr>
              <a:graphicFrameLocks noChangeAspect="1"/>
            </wp:cNvGraphicFramePr>
            <a:graphic>
              <a:graphicData uri="http://schemas.openxmlformats.org/drawingml/2006/picture">
                <pic:pic>
                  <pic:nvPicPr>
                    <pic:cNvPr id="0" name="project_architecture_en.png"/>
                    <pic:cNvPicPr/>
                  </pic:nvPicPr>
                  <pic:blipFill>
                    <a:blip r:embed="rId11"/>
                    <a:stretch>
                      <a:fillRect/>
                    </a:stretch>
                  </pic:blipFill>
                  <pic:spPr>
                    <a:xfrm>
                      <a:off x="0" y="0"/>
                      <a:ext cx="5943600" cy="3417570"/>
                    </a:xfrm>
                    <a:prstGeom prst="rect"/>
                  </pic:spPr>
                </pic:pic>
              </a:graphicData>
            </a:graphic>
          </wp:inline>
        </w:drawing>
      </w:r>
    </w:p>
    <w:p>
      <w:pPr>
        <w:spacing w:before="40" w:after="160"/>
        <w:jc w:val="center"/>
      </w:pPr>
      <w:r>
        <w:rPr>
          <w:rFonts w:ascii="Calibri" w:hAnsi="Calibri" w:eastAsia="Calibri"/>
          <w:i/>
          <w:color w:val="5F5F5F"/>
          <w:sz w:val="18"/>
        </w:rPr>
        <w:t>Figure 1. Project architecture and data-to-action flow.</w:t>
      </w:r>
    </w:p>
    <w:tbl>
      <w:tblPr>
        <w:tblStyle w:val="TableGrid"/>
        <w:tblW w:type="auto" w:w="0"/>
        <w:jc w:val="center"/>
        <w:tblLayout w:type="fixed"/>
        <w:tblLook w:firstColumn="1" w:firstRow="1" w:lastColumn="0" w:lastRow="0" w:noHBand="0" w:noVBand="1" w:val="04A0"/>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Pr>
      <w:tblGrid>
        <w:gridCol w:w="3120"/>
        <w:gridCol w:w="3120"/>
        <w:gridCol w:w="3120"/>
      </w:tblGrid>
      <w:tr>
        <w:trPr>
          <w:tblHeader w:val="true"/>
          <w:cantSplit/>
        </w:trPr>
        <w:tc>
          <w:tcPr>
            <w:tcW w:type="dxa" w:w="1928"/>
            <w:tcMar>
              <w:top w:w="80" w:type="dxa"/>
              <w:bottom w:w="80" w:type="dxa"/>
              <w:start w:w="120" w:type="dxa"/>
              <w:end w:w="120" w:type="dxa"/>
            </w:tcMar>
            <w:vAlign w:val="center"/>
            <w:shd w:fill="E8EEF5"/>
          </w:tcPr>
          <w:p>
            <w:pPr>
              <w:spacing w:after="0" w:line="240" w:lineRule="auto"/>
              <w:jc w:val="center"/>
            </w:pPr>
            <w:r/>
            <w:r>
              <w:rPr>
                <w:rFonts w:ascii="Calibri" w:hAnsi="Calibri" w:eastAsia="Calibri"/>
                <w:b/>
                <w:sz w:val="18"/>
              </w:rPr>
              <w:t>Component</w:t>
            </w:r>
          </w:p>
        </w:tc>
        <w:tc>
          <w:tcPr>
            <w:tcW w:type="dxa" w:w="3515"/>
            <w:tcMar>
              <w:top w:w="80" w:type="dxa"/>
              <w:bottom w:w="80" w:type="dxa"/>
              <w:start w:w="120" w:type="dxa"/>
              <w:end w:w="120" w:type="dxa"/>
            </w:tcMar>
            <w:vAlign w:val="center"/>
            <w:shd w:fill="E8EEF5"/>
          </w:tcPr>
          <w:p>
            <w:pPr>
              <w:spacing w:after="0" w:line="240" w:lineRule="auto"/>
              <w:jc w:val="center"/>
            </w:pPr>
            <w:r/>
            <w:r>
              <w:rPr>
                <w:rFonts w:ascii="Calibri" w:hAnsi="Calibri" w:eastAsia="Calibri"/>
                <w:b/>
                <w:sz w:val="18"/>
              </w:rPr>
              <w:t>Current role</w:t>
            </w:r>
          </w:p>
        </w:tc>
        <w:tc>
          <w:tcPr>
            <w:tcW w:type="dxa" w:w="3515"/>
            <w:tcMar>
              <w:top w:w="80" w:type="dxa"/>
              <w:bottom w:w="80" w:type="dxa"/>
              <w:start w:w="120" w:type="dxa"/>
              <w:end w:w="120" w:type="dxa"/>
            </w:tcMar>
            <w:vAlign w:val="center"/>
            <w:shd w:fill="E8EEF5"/>
          </w:tcPr>
          <w:p>
            <w:pPr>
              <w:spacing w:after="0" w:line="240" w:lineRule="auto"/>
              <w:jc w:val="center"/>
            </w:pPr>
            <w:r/>
            <w:r>
              <w:rPr>
                <w:rFonts w:ascii="Calibri" w:hAnsi="Calibri" w:eastAsia="Calibri"/>
                <w:b/>
                <w:sz w:val="18"/>
              </w:rPr>
              <w:t>Why it matters</w:t>
            </w:r>
          </w:p>
        </w:tc>
      </w:tr>
      <w:tr>
        <w:trPr>
          <w:cantSplit/>
        </w:trPr>
        <w:tc>
          <w:tcPr>
            <w:tcW w:type="dxa" w:w="1928"/>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IPN Hand data</w:t>
            </w:r>
          </w:p>
        </w:tc>
        <w:tc>
          <w:tcPr>
            <w:tcW w:type="dxa" w:w="3515"/>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Public benchmark for reproducible recognition and robustness experiments</w:t>
            </w:r>
          </w:p>
        </w:tc>
        <w:tc>
          <w:tcPr>
            <w:tcW w:type="dxa" w:w="3515"/>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Avoids relying only on a private demonstration dataset</w:t>
            </w:r>
          </w:p>
        </w:tc>
      </w:tr>
      <w:tr>
        <w:trPr>
          <w:cantSplit/>
        </w:trPr>
        <w:tc>
          <w:tcPr>
            <w:tcW w:type="dxa" w:w="1928"/>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Landmark tensor</w:t>
            </w:r>
          </w:p>
        </w:tc>
        <w:tc>
          <w:tcPr>
            <w:tcW w:type="dxa" w:w="3515"/>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MediaPipe-style [T,21,3] representation</w:t>
            </w:r>
          </w:p>
        </w:tc>
        <w:tc>
          <w:tcPr>
            <w:tcW w:type="dxa" w:w="3515"/>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Reduces visual complexity and enables fast temporal modeling</w:t>
            </w:r>
          </w:p>
        </w:tc>
      </w:tr>
      <w:tr>
        <w:trPr>
          <w:cantSplit/>
        </w:trPr>
        <w:tc>
          <w:tcPr>
            <w:tcW w:type="dxa" w:w="1928"/>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C1-T TCN</w:t>
            </w:r>
          </w:p>
        </w:tc>
        <w:tc>
          <w:tcPr>
            <w:tcW w:type="dxa" w:w="3515"/>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Temporal classifier over [32,74] features</w:t>
            </w:r>
          </w:p>
        </w:tc>
        <w:tc>
          <w:tcPr>
            <w:tcW w:type="dxa" w:w="3515"/>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Main learned recognizer and ONNX-exported runtime path</w:t>
            </w:r>
          </w:p>
        </w:tc>
      </w:tr>
      <w:tr>
        <w:trPr>
          <w:cantSplit/>
        </w:trPr>
        <w:tc>
          <w:tcPr>
            <w:tcW w:type="dxa" w:w="1928"/>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C3 Hybrid</w:t>
            </w:r>
          </w:p>
        </w:tc>
        <w:tc>
          <w:tcPr>
            <w:tcW w:type="dxa" w:w="3515"/>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Temporal probabilities plus geometry-aware safety prior</w:t>
            </w:r>
          </w:p>
        </w:tc>
        <w:tc>
          <w:tcPr>
            <w:tcW w:type="dxa" w:w="3515"/>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Targets false-action risk rather than only clean accuracy</w:t>
            </w:r>
          </w:p>
        </w:tc>
      </w:tr>
      <w:tr>
        <w:trPr>
          <w:cantSplit/>
        </w:trPr>
        <w:tc>
          <w:tcPr>
            <w:tcW w:type="dxa" w:w="1928"/>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C2 Gate</w:t>
            </w:r>
          </w:p>
        </w:tc>
        <w:tc>
          <w:tcPr>
            <w:tcW w:type="dxa" w:w="3515"/>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Context-aware gesture-to-action finite-state policy</w:t>
            </w:r>
          </w:p>
        </w:tc>
        <w:tc>
          <w:tcPr>
            <w:tcW w:type="dxa" w:w="3515"/>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Suppresses unstable or repeated accidental commands</w:t>
            </w:r>
          </w:p>
        </w:tc>
      </w:tr>
      <w:tr>
        <w:trPr>
          <w:cantSplit/>
        </w:trPr>
        <w:tc>
          <w:tcPr>
            <w:tcW w:type="dxa" w:w="1928"/>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AR UI</w:t>
            </w:r>
          </w:p>
        </w:tc>
        <w:tc>
          <w:tcPr>
            <w:tcW w:type="dxa" w:w="3515"/>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React + Three.js task interface</w:t>
            </w:r>
          </w:p>
        </w:tc>
        <w:tc>
          <w:tcPr>
            <w:tcW w:type="dxa" w:w="3515"/>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Turns recognition into measurable AR task execution</w:t>
            </w:r>
          </w:p>
        </w:tc>
      </w:tr>
    </w:tbl>
    <w:p/>
    <w:p>
      <w:pPr>
        <w:spacing w:line="264" w:lineRule="auto" w:after="120"/>
        <w:jc w:val="left"/>
      </w:pPr>
      <w:r>
        <w:rPr>
          <w:rFonts w:ascii="Calibri" w:hAnsi="Calibri" w:eastAsia="Calibri"/>
          <w:sz w:val="22"/>
        </w:rPr>
        <w:t>The gesture vocabulary contains seven target classes: no_gesture, point_2f, click_2f, swipe_left, swipe_right, zoom_in, and zoom_out. These classes are deliberately small but operationally complete for pointing, selection, navigation, scaling, and suppression of accidental input.</w:t>
      </w:r>
    </w:p>
    <w:tbl>
      <w:tblPr>
        <w:tblStyle w:val="TableGrid"/>
        <w:tblW w:type="auto" w:w="0"/>
        <w:jc w:val="center"/>
        <w:tblLayout w:type="fixed"/>
        <w:tblLook w:firstColumn="1" w:firstRow="1" w:lastColumn="0" w:lastRow="0" w:noHBand="0" w:noVBand="1" w:val="04A0"/>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Pr>
      <w:tblGrid>
        <w:gridCol w:w="3120"/>
        <w:gridCol w:w="3120"/>
        <w:gridCol w:w="3120"/>
      </w:tblGrid>
      <w:tr>
        <w:trPr>
          <w:tblHeader w:val="true"/>
          <w:cantSplit/>
        </w:trPr>
        <w:tc>
          <w:tcPr>
            <w:tcW w:type="dxa" w:w="680"/>
            <w:tcMar>
              <w:top w:w="80" w:type="dxa"/>
              <w:bottom w:w="80" w:type="dxa"/>
              <w:start w:w="120" w:type="dxa"/>
              <w:end w:w="120" w:type="dxa"/>
            </w:tcMar>
            <w:vAlign w:val="center"/>
            <w:shd w:fill="E2F0D9"/>
          </w:tcPr>
          <w:p>
            <w:pPr>
              <w:spacing w:after="0" w:line="240" w:lineRule="auto"/>
              <w:jc w:val="center"/>
            </w:pPr>
            <w:r/>
            <w:r>
              <w:rPr>
                <w:rFonts w:ascii="Calibri" w:hAnsi="Calibri" w:eastAsia="Calibri"/>
                <w:b/>
                <w:sz w:val="18"/>
              </w:rPr>
              <w:t>No.</w:t>
            </w:r>
          </w:p>
        </w:tc>
        <w:tc>
          <w:tcPr>
            <w:tcW w:type="dxa" w:w="4309"/>
            <w:tcMar>
              <w:top w:w="80" w:type="dxa"/>
              <w:bottom w:w="80" w:type="dxa"/>
              <w:start w:w="120" w:type="dxa"/>
              <w:end w:w="120" w:type="dxa"/>
            </w:tcMar>
            <w:vAlign w:val="center"/>
            <w:shd w:fill="E2F0D9"/>
          </w:tcPr>
          <w:p>
            <w:pPr>
              <w:spacing w:after="0" w:line="240" w:lineRule="auto"/>
              <w:jc w:val="center"/>
            </w:pPr>
            <w:r/>
            <w:r>
              <w:rPr>
                <w:rFonts w:ascii="Calibri" w:hAnsi="Calibri" w:eastAsia="Calibri"/>
                <w:b/>
                <w:sz w:val="18"/>
              </w:rPr>
              <w:t>Formula</w:t>
            </w:r>
          </w:p>
        </w:tc>
        <w:tc>
          <w:tcPr>
            <w:tcW w:type="dxa" w:w="3969"/>
            <w:tcMar>
              <w:top w:w="80" w:type="dxa"/>
              <w:bottom w:w="80" w:type="dxa"/>
              <w:start w:w="120" w:type="dxa"/>
              <w:end w:w="120" w:type="dxa"/>
            </w:tcMar>
            <w:vAlign w:val="center"/>
            <w:shd w:fill="E2F0D9"/>
          </w:tcPr>
          <w:p>
            <w:pPr>
              <w:spacing w:after="0" w:line="240" w:lineRule="auto"/>
              <w:jc w:val="center"/>
            </w:pPr>
            <w:r/>
            <w:r>
              <w:rPr>
                <w:rFonts w:ascii="Calibri" w:hAnsi="Calibri" w:eastAsia="Calibri"/>
                <w:b/>
                <w:sz w:val="18"/>
              </w:rPr>
              <w:t>Meaning in this project</w:t>
            </w:r>
          </w:p>
        </w:tc>
      </w:tr>
      <w:tr>
        <w:trPr>
          <w:cantSplit/>
        </w:trPr>
        <w:tc>
          <w:tcPr>
            <w:tcW w:type="dxa" w:w="680"/>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(1)</w:t>
            </w:r>
          </w:p>
        </w:tc>
        <w:tc>
          <w:tcPr>
            <w:tcW w:type="dxa" w:w="4309"/>
            <w:tcMar>
              <w:top w:w="80" w:type="dxa"/>
              <w:bottom w:w="80" w:type="dxa"/>
              <w:start w:w="120" w:type="dxa"/>
              <w:end w:w="120" w:type="dxa"/>
            </w:tcMar>
            <w:vAlign w:val="center"/>
          </w:tcPr>
          <w:p>
            <w:pPr>
              <w:spacing w:after="0" w:line="240" w:lineRule="auto"/>
              <w:jc w:val="left"/>
            </w:pPr>
            <w:r>
              <w:rPr>
                <w:rFonts w:ascii="Cambria Math" w:hAnsi="Cambria Math" w:eastAsia="Cambria Math"/>
              </w:rPr>
            </w:r>
            <w:r>
              <w:rPr>
                <w:rFonts w:ascii="Cambria Math" w:hAnsi="Cambria Math" w:eastAsia="Cambria Math"/>
                <w:b w:val="0"/>
                <w:sz w:val="18"/>
              </w:rPr>
              <w:t>P(t) = [p(t,1), ..., p(t,21)],  p(t,j)=(x,y,z);  X ∈ R^(T×21×3)</w:t>
            </w:r>
          </w:p>
        </w:tc>
        <w:tc>
          <w:tcPr>
            <w:tcW w:type="dxa" w:w="3969"/>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Each frame is represented as 21 hand landmarks, and each gesture clip is a temporal landmark tensor.</w:t>
            </w:r>
          </w:p>
        </w:tc>
      </w:tr>
      <w:tr>
        <w:trPr>
          <w:cantSplit/>
        </w:trPr>
        <w:tc>
          <w:tcPr>
            <w:tcW w:type="dxa" w:w="680"/>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(2)</w:t>
            </w:r>
          </w:p>
        </w:tc>
        <w:tc>
          <w:tcPr>
            <w:tcW w:type="dxa" w:w="4309"/>
            <w:tcMar>
              <w:top w:w="80" w:type="dxa"/>
              <w:bottom w:w="80" w:type="dxa"/>
              <w:start w:w="120" w:type="dxa"/>
              <w:end w:w="120" w:type="dxa"/>
            </w:tcMar>
            <w:vAlign w:val="center"/>
          </w:tcPr>
          <w:p>
            <w:pPr>
              <w:spacing w:after="0" w:line="240" w:lineRule="auto"/>
              <w:jc w:val="left"/>
            </w:pPr>
            <w:r>
              <w:rPr>
                <w:rFonts w:ascii="Cambria Math" w:hAnsi="Cambria Math" w:eastAsia="Cambria Math"/>
              </w:rPr>
            </w:r>
            <w:r>
              <w:rPr>
                <w:rFonts w:ascii="Cambria Math" w:hAnsi="Cambria Math" w:eastAsia="Cambria Math"/>
                <w:b w:val="0"/>
                <w:sz w:val="18"/>
              </w:rPr>
              <w:t>s(t)=max(||p5_xy-p17_xy||_2, ||p9_xy-p0_xy||_2, ε)</w:t>
            </w:r>
          </w:p>
        </w:tc>
        <w:tc>
          <w:tcPr>
            <w:tcW w:type="dxa" w:w="3969"/>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Palm scale normalizes the hand pose and guards against division by zero.</w:t>
            </w:r>
          </w:p>
        </w:tc>
      </w:tr>
      <w:tr>
        <w:trPr>
          <w:cantSplit/>
        </w:trPr>
        <w:tc>
          <w:tcPr>
            <w:tcW w:type="dxa" w:w="680"/>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(3)</w:t>
            </w:r>
          </w:p>
        </w:tc>
        <w:tc>
          <w:tcPr>
            <w:tcW w:type="dxa" w:w="4309"/>
            <w:tcMar>
              <w:top w:w="80" w:type="dxa"/>
              <w:bottom w:w="80" w:type="dxa"/>
              <w:start w:w="120" w:type="dxa"/>
              <w:end w:w="120" w:type="dxa"/>
            </w:tcMar>
            <w:vAlign w:val="center"/>
          </w:tcPr>
          <w:p>
            <w:pPr>
              <w:spacing w:after="0" w:line="240" w:lineRule="auto"/>
              <w:jc w:val="left"/>
            </w:pPr>
            <w:r>
              <w:rPr>
                <w:rFonts w:ascii="Cambria Math" w:hAnsi="Cambria Math" w:eastAsia="Cambria Math"/>
              </w:rPr>
            </w:r>
            <w:r>
              <w:rPr>
                <w:rFonts w:ascii="Cambria Math" w:hAnsi="Cambria Math" w:eastAsia="Cambria Math"/>
                <w:b w:val="0"/>
                <w:sz w:val="18"/>
              </w:rPr>
              <w:t>p_norm(t,j)=(p(t,j)-p(t,0))/s(t)</w:t>
            </w:r>
          </w:p>
        </w:tc>
        <w:tc>
          <w:tcPr>
            <w:tcW w:type="dxa" w:w="3969"/>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Landmarks are represented relative to the wrist and palm scale.</w:t>
            </w:r>
          </w:p>
        </w:tc>
      </w:tr>
      <w:tr>
        <w:trPr>
          <w:cantSplit/>
        </w:trPr>
        <w:tc>
          <w:tcPr>
            <w:tcW w:type="dxa" w:w="680"/>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(4)</w:t>
            </w:r>
          </w:p>
        </w:tc>
        <w:tc>
          <w:tcPr>
            <w:tcW w:type="dxa" w:w="4309"/>
            <w:tcMar>
              <w:top w:w="80" w:type="dxa"/>
              <w:bottom w:w="80" w:type="dxa"/>
              <w:start w:w="120" w:type="dxa"/>
              <w:end w:w="120" w:type="dxa"/>
            </w:tcMar>
            <w:vAlign w:val="center"/>
          </w:tcPr>
          <w:p>
            <w:pPr>
              <w:spacing w:after="0" w:line="240" w:lineRule="auto"/>
              <w:jc w:val="left"/>
            </w:pPr>
            <w:r>
              <w:rPr>
                <w:rFonts w:ascii="Cambria Math" w:hAnsi="Cambria Math" w:eastAsia="Cambria Math"/>
              </w:rPr>
            </w:r>
            <w:r>
              <w:rPr>
                <w:rFonts w:ascii="Cambria Math" w:hAnsi="Cambria Math" w:eastAsia="Cambria Math"/>
                <w:b w:val="0"/>
                <w:sz w:val="18"/>
              </w:rPr>
              <w:t>z(t)=[vec(P_norm), motion, confidence] ∈ R^74;  Z ∈ R^(32×74)</w:t>
            </w:r>
          </w:p>
        </w:tc>
        <w:tc>
          <w:tcPr>
            <w:tcW w:type="dxa" w:w="3969"/>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The model input combines 63 pose features and 11 motion/confidence features.</w:t>
            </w:r>
          </w:p>
        </w:tc>
      </w:tr>
    </w:tbl>
    <w:p/>
    <w:p>
      <w:pPr>
        <w:pStyle w:val="Heading1"/>
      </w:pPr>
      <w:r>
        <w:t>2. Current System State</w:t>
      </w:r>
    </w:p>
    <w:p>
      <w:pPr>
        <w:spacing w:line="264" w:lineRule="auto" w:after="120"/>
        <w:jc w:val="left"/>
      </w:pPr>
      <w:r>
        <w:rPr>
          <w:rFonts w:ascii="Calibri" w:hAnsi="Calibri" w:eastAsia="Calibri"/>
          <w:sz w:val="22"/>
        </w:rPr>
        <w:t>As of 26 May 2026, the project has moved beyond a simple prototype. It contains extracted full IPN landmark benchmarks, trained C1 and C1-T models, validated TCN recognition reports, ONNX export, mobile portability contracts, AR task scenarios, live-session reports, C3 Hybrid robustness experiments, ablation tables, calibration candidates, charts, and UI screenshots.</w:t>
      </w:r>
    </w:p>
    <w:tbl>
      <w:tblPr>
        <w:tblStyle w:val="TableGrid"/>
        <w:tblW w:type="auto" w:w="0"/>
        <w:jc w:val="center"/>
        <w:tblLayout w:type="fixed"/>
        <w:tblLook w:firstColumn="1" w:firstRow="1" w:lastColumn="0" w:lastRow="0" w:noHBand="0" w:noVBand="1" w:val="04A0"/>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Pr>
      <w:tblGrid>
        <w:gridCol w:w="3120"/>
        <w:gridCol w:w="3120"/>
        <w:gridCol w:w="3120"/>
      </w:tblGrid>
      <w:tr>
        <w:trPr>
          <w:tblHeader w:val="true"/>
          <w:cantSplit/>
        </w:trPr>
        <w:tc>
          <w:tcPr>
            <w:tcW w:type="dxa" w:w="2551"/>
            <w:tcMar>
              <w:top w:w="80" w:type="dxa"/>
              <w:bottom w:w="80" w:type="dxa"/>
              <w:start w:w="120" w:type="dxa"/>
              <w:end w:w="120" w:type="dxa"/>
            </w:tcMar>
            <w:vAlign w:val="center"/>
            <w:shd w:fill="E8EEF5"/>
          </w:tcPr>
          <w:p>
            <w:pPr>
              <w:spacing w:after="0" w:line="240" w:lineRule="auto"/>
              <w:jc w:val="center"/>
            </w:pPr>
            <w:r/>
            <w:r>
              <w:rPr>
                <w:rFonts w:ascii="Calibri" w:hAnsi="Calibri" w:eastAsia="Calibri"/>
                <w:b/>
                <w:sz w:val="18"/>
              </w:rPr>
              <w:t>Measurement</w:t>
            </w:r>
          </w:p>
        </w:tc>
        <w:tc>
          <w:tcPr>
            <w:tcW w:type="dxa" w:w="2665"/>
            <w:tcMar>
              <w:top w:w="80" w:type="dxa"/>
              <w:bottom w:w="80" w:type="dxa"/>
              <w:start w:w="120" w:type="dxa"/>
              <w:end w:w="120" w:type="dxa"/>
            </w:tcMar>
            <w:vAlign w:val="center"/>
            <w:shd w:fill="E8EEF5"/>
          </w:tcPr>
          <w:p>
            <w:pPr>
              <w:spacing w:after="0" w:line="240" w:lineRule="auto"/>
              <w:jc w:val="center"/>
            </w:pPr>
            <w:r/>
            <w:r>
              <w:rPr>
                <w:rFonts w:ascii="Calibri" w:hAnsi="Calibri" w:eastAsia="Calibri"/>
                <w:b/>
                <w:sz w:val="18"/>
              </w:rPr>
              <w:t>Value</w:t>
            </w:r>
          </w:p>
        </w:tc>
        <w:tc>
          <w:tcPr>
            <w:tcW w:type="dxa" w:w="3742"/>
            <w:tcMar>
              <w:top w:w="80" w:type="dxa"/>
              <w:bottom w:w="80" w:type="dxa"/>
              <w:start w:w="120" w:type="dxa"/>
              <w:end w:w="120" w:type="dxa"/>
            </w:tcMar>
            <w:vAlign w:val="center"/>
            <w:shd w:fill="E8EEF5"/>
          </w:tcPr>
          <w:p>
            <w:pPr>
              <w:spacing w:after="0" w:line="240" w:lineRule="auto"/>
              <w:jc w:val="center"/>
            </w:pPr>
            <w:r/>
            <w:r>
              <w:rPr>
                <w:rFonts w:ascii="Calibri" w:hAnsi="Calibri" w:eastAsia="Calibri"/>
                <w:b/>
                <w:sz w:val="18"/>
              </w:rPr>
              <w:t>Interpretation</w:t>
            </w:r>
          </w:p>
        </w:tc>
      </w:tr>
      <w:tr>
        <w:trPr>
          <w:cantSplit/>
        </w:trPr>
        <w:tc>
          <w:tcPr>
            <w:tcW w:type="dxa" w:w="2551"/>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Full IPN subset</w:t>
            </w:r>
          </w:p>
        </w:tc>
        <w:tc>
          <w:tcPr>
            <w:tcW w:type="dxa" w:w="2665"/>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2405 train / 1033 test clips</w:t>
            </w:r>
          </w:p>
        </w:tc>
        <w:tc>
          <w:tcPr>
            <w:tcW w:type="dxa" w:w="3742"/>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Primary reproducible public benchmark</w:t>
            </w:r>
          </w:p>
        </w:tc>
      </w:tr>
      <w:tr>
        <w:trPr>
          <w:cantSplit/>
        </w:trPr>
        <w:tc>
          <w:tcPr>
            <w:tcW w:type="dxa" w:w="2551"/>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Validated C1-T accuracy</w:t>
            </w:r>
          </w:p>
        </w:tc>
        <w:tc>
          <w:tcPr>
            <w:tcW w:type="dxa" w:w="2665"/>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0.9071</w:t>
            </w:r>
          </w:p>
        </w:tc>
        <w:tc>
          <w:tcPr>
            <w:tcW w:type="dxa" w:w="3742"/>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Recognition quality on the full test subset</w:t>
            </w:r>
          </w:p>
        </w:tc>
      </w:tr>
      <w:tr>
        <w:trPr>
          <w:cantSplit/>
        </w:trPr>
        <w:tc>
          <w:tcPr>
            <w:tcW w:type="dxa" w:w="2551"/>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Validated C1-T macro F1</w:t>
            </w:r>
          </w:p>
        </w:tc>
        <w:tc>
          <w:tcPr>
            <w:tcW w:type="dxa" w:w="2665"/>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0.8502</w:t>
            </w:r>
          </w:p>
        </w:tc>
        <w:tc>
          <w:tcPr>
            <w:tcW w:type="dxa" w:w="3742"/>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Class-balanced recognition quality</w:t>
            </w:r>
          </w:p>
        </w:tc>
      </w:tr>
      <w:tr>
        <w:trPr>
          <w:cantSplit/>
        </w:trPr>
        <w:tc>
          <w:tcPr>
            <w:tcW w:type="dxa" w:w="2551"/>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Validated C1-T p95 latency</w:t>
            </w:r>
          </w:p>
        </w:tc>
        <w:tc>
          <w:tcPr>
            <w:tcW w:type="dxa" w:w="2665"/>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4.638 ms</w:t>
            </w:r>
          </w:p>
        </w:tc>
        <w:tc>
          <w:tcPr>
            <w:tcW w:type="dxa" w:w="3742"/>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Offline per-sample inference latency</w:t>
            </w:r>
          </w:p>
        </w:tc>
      </w:tr>
      <w:tr>
        <w:trPr>
          <w:cantSplit/>
        </w:trPr>
        <w:tc>
          <w:tcPr>
            <w:tcW w:type="dxa" w:w="2551"/>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C3 clean macro F1</w:t>
            </w:r>
          </w:p>
        </w:tc>
        <w:tc>
          <w:tcPr>
            <w:tcW w:type="dxa" w:w="2665"/>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0.8513</w:t>
            </w:r>
          </w:p>
        </w:tc>
        <w:tc>
          <w:tcPr>
            <w:tcW w:type="dxa" w:w="3742"/>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Hybrid clean benchmark score</w:t>
            </w:r>
          </w:p>
        </w:tc>
      </w:tr>
      <w:tr>
        <w:trPr>
          <w:cantSplit/>
        </w:trPr>
        <w:tc>
          <w:tcPr>
            <w:tcW w:type="dxa" w:w="2551"/>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C3 perturbed macro F1 mean</w:t>
            </w:r>
          </w:p>
        </w:tc>
        <w:tc>
          <w:tcPr>
            <w:tcW w:type="dxa" w:w="2665"/>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0.8283</w:t>
            </w:r>
          </w:p>
        </w:tc>
        <w:tc>
          <w:tcPr>
            <w:tcW w:type="dxa" w:w="3742"/>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Average robustness under synthetic perturbations</w:t>
            </w:r>
          </w:p>
        </w:tc>
      </w:tr>
      <w:tr>
        <w:trPr>
          <w:cantSplit/>
        </w:trPr>
        <w:tc>
          <w:tcPr>
            <w:tcW w:type="dxa" w:w="2551"/>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C3 mean perturbed false-action rate</w:t>
            </w:r>
          </w:p>
        </w:tc>
        <w:tc>
          <w:tcPr>
            <w:tcW w:type="dxa" w:w="2665"/>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0.0945</w:t>
            </w:r>
          </w:p>
        </w:tc>
        <w:tc>
          <w:tcPr>
            <w:tcW w:type="dxa" w:w="3742"/>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Interaction-relevant risk signal</w:t>
            </w:r>
          </w:p>
        </w:tc>
      </w:tr>
    </w:tbl>
    <w:p/>
    <w:p>
      <w:pPr>
        <w:spacing w:line="264" w:lineRule="auto" w:after="120"/>
        <w:jc w:val="left"/>
      </w:pPr>
      <w:r>
        <w:rPr>
          <w:rFonts w:ascii="Calibri" w:hAnsi="Calibri" w:eastAsia="Calibri"/>
          <w:sz w:val="22"/>
        </w:rPr>
        <w:t>The current best C3 calibration candidate uses neural_weight=0.96, geometry_weight=0.08, and action_threshold=0.44.</w:t>
      </w:r>
    </w:p>
    <w:p>
      <w:pPr>
        <w:jc w:val="center"/>
      </w:pPr>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results.jpg"/>
                    <pic:cNvPicPr/>
                  </pic:nvPicPr>
                  <pic:blipFill>
                    <a:blip r:embed="rId12"/>
                    <a:stretch>
                      <a:fillRect/>
                    </a:stretch>
                  </pic:blipFill>
                  <pic:spPr>
                    <a:xfrm>
                      <a:off x="0" y="0"/>
                      <a:ext cx="5943600" cy="3343275"/>
                    </a:xfrm>
                    <a:prstGeom prst="rect"/>
                  </pic:spPr>
                </pic:pic>
              </a:graphicData>
            </a:graphic>
          </wp:inline>
        </w:drawing>
      </w:r>
    </w:p>
    <w:p>
      <w:pPr>
        <w:spacing w:before="40" w:after="160"/>
        <w:jc w:val="center"/>
      </w:pPr>
      <w:r>
        <w:rPr>
          <w:rFonts w:ascii="Calibri" w:hAnsi="Calibri" w:eastAsia="Calibri"/>
          <w:i/>
          <w:color w:val="5F5F5F"/>
          <w:sz w:val="18"/>
        </w:rPr>
        <w:t>Figure 2. Current experiment results page with C3 Hybrid state.</w:t>
      </w:r>
    </w:p>
    <w:p>
      <w:pPr>
        <w:spacing w:line="264" w:lineRule="auto" w:after="120"/>
        <w:jc w:val="left"/>
      </w:pPr>
      <w:r>
        <w:rPr>
          <w:rFonts w:ascii="Calibri" w:hAnsi="Calibri" w:eastAsia="Calibri"/>
          <w:sz w:val="22"/>
        </w:rPr>
        <w:t>The current C3 result should be interpreted as a robustness and interaction-risk improvement rather than a dramatic clean-accuracy jump. The validated temporal recognizer already performs strongly on clean public data; the C3 contribution is to make action emission more conservative where AR interaction risk matters.</w:t>
      </w:r>
    </w:p>
    <w:tbl>
      <w:tblPr>
        <w:tblStyle w:val="TableGrid"/>
        <w:tblW w:type="auto" w:w="0"/>
        <w:jc w:val="center"/>
        <w:tblLayout w:type="fixed"/>
        <w:tblLook w:firstColumn="1" w:firstRow="1" w:lastColumn="0" w:lastRow="0" w:noHBand="0" w:noVBand="1" w:val="04A0"/>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Pr>
      <w:tblGrid>
        <w:gridCol w:w="1872"/>
        <w:gridCol w:w="1872"/>
        <w:gridCol w:w="1872"/>
        <w:gridCol w:w="1872"/>
        <w:gridCol w:w="1872"/>
      </w:tblGrid>
      <w:tr>
        <w:trPr>
          <w:tblHeader w:val="true"/>
          <w:cantSplit/>
        </w:trPr>
        <w:tc>
          <w:tcPr>
            <w:tcW w:type="dxa" w:w="1928"/>
            <w:tcMar>
              <w:top w:w="80" w:type="dxa"/>
              <w:bottom w:w="80" w:type="dxa"/>
              <w:start w:w="120" w:type="dxa"/>
              <w:end w:w="120" w:type="dxa"/>
            </w:tcMar>
            <w:vAlign w:val="center"/>
            <w:shd w:fill="E8EEF5"/>
          </w:tcPr>
          <w:p>
            <w:pPr>
              <w:spacing w:after="0" w:line="240" w:lineRule="auto"/>
              <w:jc w:val="center"/>
            </w:pPr>
            <w:r/>
            <w:r>
              <w:rPr>
                <w:rFonts w:ascii="Calibri" w:hAnsi="Calibri" w:eastAsia="Calibri"/>
                <w:b/>
                <w:sz w:val="18"/>
              </w:rPr>
              <w:t>Method</w:t>
            </w:r>
          </w:p>
        </w:tc>
        <w:tc>
          <w:tcPr>
            <w:tcW w:type="dxa" w:w="1701"/>
            <w:tcMar>
              <w:top w:w="80" w:type="dxa"/>
              <w:bottom w:w="80" w:type="dxa"/>
              <w:start w:w="120" w:type="dxa"/>
              <w:end w:w="120" w:type="dxa"/>
            </w:tcMar>
            <w:vAlign w:val="center"/>
            <w:shd w:fill="E8EEF5"/>
          </w:tcPr>
          <w:p>
            <w:pPr>
              <w:spacing w:after="0" w:line="240" w:lineRule="auto"/>
              <w:jc w:val="center"/>
            </w:pPr>
            <w:r/>
            <w:r>
              <w:rPr>
                <w:rFonts w:ascii="Calibri" w:hAnsi="Calibri" w:eastAsia="Calibri"/>
                <w:b/>
                <w:sz w:val="18"/>
              </w:rPr>
              <w:t>Clean macro F1</w:t>
            </w:r>
          </w:p>
        </w:tc>
        <w:tc>
          <w:tcPr>
            <w:tcW w:type="dxa" w:w="2098"/>
            <w:tcMar>
              <w:top w:w="80" w:type="dxa"/>
              <w:bottom w:w="80" w:type="dxa"/>
              <w:start w:w="120" w:type="dxa"/>
              <w:end w:w="120" w:type="dxa"/>
            </w:tcMar>
            <w:vAlign w:val="center"/>
            <w:shd w:fill="E8EEF5"/>
          </w:tcPr>
          <w:p>
            <w:pPr>
              <w:spacing w:after="0" w:line="240" w:lineRule="auto"/>
              <w:jc w:val="center"/>
            </w:pPr>
            <w:r/>
            <w:r>
              <w:rPr>
                <w:rFonts w:ascii="Calibri" w:hAnsi="Calibri" w:eastAsia="Calibri"/>
                <w:b/>
                <w:sz w:val="18"/>
              </w:rPr>
              <w:t>Perturbed macro F1 mean</w:t>
            </w:r>
          </w:p>
        </w:tc>
        <w:tc>
          <w:tcPr>
            <w:tcW w:type="dxa" w:w="1587"/>
            <w:tcMar>
              <w:top w:w="80" w:type="dxa"/>
              <w:bottom w:w="80" w:type="dxa"/>
              <w:start w:w="120" w:type="dxa"/>
              <w:end w:w="120" w:type="dxa"/>
            </w:tcMar>
            <w:vAlign w:val="center"/>
            <w:shd w:fill="E8EEF5"/>
          </w:tcPr>
          <w:p>
            <w:pPr>
              <w:spacing w:after="0" w:line="240" w:lineRule="auto"/>
              <w:jc w:val="center"/>
            </w:pPr>
            <w:r/>
            <w:r>
              <w:rPr>
                <w:rFonts w:ascii="Calibri" w:hAnsi="Calibri" w:eastAsia="Calibri"/>
                <w:b/>
                <w:sz w:val="18"/>
              </w:rPr>
              <w:t>Macro F1 drop</w:t>
            </w:r>
          </w:p>
        </w:tc>
        <w:tc>
          <w:tcPr>
            <w:tcW w:type="dxa" w:w="1701"/>
            <w:tcMar>
              <w:top w:w="80" w:type="dxa"/>
              <w:bottom w:w="80" w:type="dxa"/>
              <w:start w:w="120" w:type="dxa"/>
              <w:end w:w="120" w:type="dxa"/>
            </w:tcMar>
            <w:vAlign w:val="center"/>
            <w:shd w:fill="E8EEF5"/>
          </w:tcPr>
          <w:p>
            <w:pPr>
              <w:spacing w:after="0" w:line="240" w:lineRule="auto"/>
              <w:jc w:val="center"/>
            </w:pPr>
            <w:r/>
            <w:r>
              <w:rPr>
                <w:rFonts w:ascii="Calibri" w:hAnsi="Calibri" w:eastAsia="Calibri"/>
                <w:b/>
                <w:sz w:val="18"/>
              </w:rPr>
              <w:t>Perturbed false-action rate</w:t>
            </w:r>
          </w:p>
        </w:tc>
      </w:tr>
      <w:tr>
        <w:trPr>
          <w:cantSplit/>
        </w:trPr>
        <w:tc>
          <w:tcPr>
            <w:tcW w:type="dxa" w:w="1928"/>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c1t_direct</w:t>
            </w:r>
          </w:p>
        </w:tc>
        <w:tc>
          <w:tcPr>
            <w:tcW w:type="dxa" w:w="1701"/>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0.8502</w:t>
            </w:r>
          </w:p>
        </w:tc>
        <w:tc>
          <w:tcPr>
            <w:tcW w:type="dxa" w:w="2098"/>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0.8263</w:t>
            </w:r>
          </w:p>
        </w:tc>
        <w:tc>
          <w:tcPr>
            <w:tcW w:type="dxa" w:w="1587"/>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0.0239</w:t>
            </w:r>
          </w:p>
        </w:tc>
        <w:tc>
          <w:tcPr>
            <w:tcW w:type="dxa" w:w="1701"/>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0.0967</w:t>
            </w:r>
          </w:p>
        </w:tc>
      </w:tr>
      <w:tr>
        <w:trPr>
          <w:cantSplit/>
        </w:trPr>
        <w:tc>
          <w:tcPr>
            <w:tcW w:type="dxa" w:w="1928"/>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c3_hybrid</w:t>
            </w:r>
          </w:p>
        </w:tc>
        <w:tc>
          <w:tcPr>
            <w:tcW w:type="dxa" w:w="1701"/>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0.8513</w:t>
            </w:r>
          </w:p>
        </w:tc>
        <w:tc>
          <w:tcPr>
            <w:tcW w:type="dxa" w:w="2098"/>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0.8283</w:t>
            </w:r>
          </w:p>
        </w:tc>
        <w:tc>
          <w:tcPr>
            <w:tcW w:type="dxa" w:w="1587"/>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0.0231</w:t>
            </w:r>
          </w:p>
        </w:tc>
        <w:tc>
          <w:tcPr>
            <w:tcW w:type="dxa" w:w="1701"/>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0.0945</w:t>
            </w:r>
          </w:p>
        </w:tc>
      </w:tr>
    </w:tbl>
    <w:p/>
    <w:p>
      <w:pPr>
        <w:jc w:val="center"/>
      </w:pPr>
      <w:r>
        <w:drawing>
          <wp:inline xmlns:a="http://schemas.openxmlformats.org/drawingml/2006/main" xmlns:pic="http://schemas.openxmlformats.org/drawingml/2006/picture">
            <wp:extent cx="5943600" cy="2674620"/>
            <wp:docPr id="3" name="Picture 3"/>
            <wp:cNvGraphicFramePr>
              <a:graphicFrameLocks noChangeAspect="1"/>
            </wp:cNvGraphicFramePr>
            <a:graphic>
              <a:graphicData uri="http://schemas.openxmlformats.org/drawingml/2006/picture">
                <pic:pic>
                  <pic:nvPicPr>
                    <pic:cNvPr id="0" name="robustness.jpg"/>
                    <pic:cNvPicPr/>
                  </pic:nvPicPr>
                  <pic:blipFill>
                    <a:blip r:embed="rId13"/>
                    <a:stretch>
                      <a:fillRect/>
                    </a:stretch>
                  </pic:blipFill>
                  <pic:spPr>
                    <a:xfrm>
                      <a:off x="0" y="0"/>
                      <a:ext cx="5943600" cy="2674620"/>
                    </a:xfrm>
                    <a:prstGeom prst="rect"/>
                  </pic:spPr>
                </pic:pic>
              </a:graphicData>
            </a:graphic>
          </wp:inline>
        </w:drawing>
      </w:r>
    </w:p>
    <w:p>
      <w:pPr>
        <w:spacing w:before="40" w:after="160"/>
        <w:jc w:val="center"/>
      </w:pPr>
      <w:r>
        <w:rPr>
          <w:rFonts w:ascii="Calibri" w:hAnsi="Calibri" w:eastAsia="Calibri"/>
          <w:i/>
          <w:color w:val="5F5F5F"/>
          <w:sz w:val="18"/>
        </w:rPr>
        <w:t>Figure 3. C3 robustness by perturbation scenario.</w:t>
      </w:r>
    </w:p>
    <w:tbl>
      <w:tblPr>
        <w:tblStyle w:val="TableGrid"/>
        <w:tblW w:type="auto" w:w="0"/>
        <w:jc w:val="center"/>
        <w:tblLayout w:type="fixed"/>
        <w:tblLook w:firstColumn="1" w:firstRow="1" w:lastColumn="0" w:lastRow="0" w:noHBand="0" w:noVBand="1" w:val="04A0"/>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Pr>
      <w:tblGrid>
        <w:gridCol w:w="1872"/>
        <w:gridCol w:w="1872"/>
        <w:gridCol w:w="1872"/>
        <w:gridCol w:w="1872"/>
        <w:gridCol w:w="1872"/>
      </w:tblGrid>
      <w:tr>
        <w:trPr>
          <w:tblHeader w:val="true"/>
          <w:cantSplit/>
        </w:trPr>
        <w:tc>
          <w:tcPr>
            <w:tcW w:type="dxa" w:w="2041"/>
            <w:tcMar>
              <w:top w:w="80" w:type="dxa"/>
              <w:bottom w:w="80" w:type="dxa"/>
              <w:start w:w="120" w:type="dxa"/>
              <w:end w:w="120" w:type="dxa"/>
            </w:tcMar>
            <w:vAlign w:val="center"/>
            <w:shd w:fill="E8EEF5"/>
          </w:tcPr>
          <w:p>
            <w:pPr>
              <w:spacing w:after="0" w:line="240" w:lineRule="auto"/>
              <w:jc w:val="center"/>
            </w:pPr>
            <w:r/>
            <w:r>
              <w:rPr>
                <w:rFonts w:ascii="Calibri" w:hAnsi="Calibri" w:eastAsia="Calibri"/>
                <w:b/>
                <w:sz w:val="18"/>
              </w:rPr>
              <w:t>Method</w:t>
            </w:r>
          </w:p>
        </w:tc>
        <w:tc>
          <w:tcPr>
            <w:tcW w:type="dxa" w:w="1701"/>
            <w:tcMar>
              <w:top w:w="80" w:type="dxa"/>
              <w:bottom w:w="80" w:type="dxa"/>
              <w:start w:w="120" w:type="dxa"/>
              <w:end w:w="120" w:type="dxa"/>
            </w:tcMar>
            <w:vAlign w:val="center"/>
            <w:shd w:fill="E8EEF5"/>
          </w:tcPr>
          <w:p>
            <w:pPr>
              <w:spacing w:after="0" w:line="240" w:lineRule="auto"/>
              <w:jc w:val="center"/>
            </w:pPr>
            <w:r/>
            <w:r>
              <w:rPr>
                <w:rFonts w:ascii="Calibri" w:hAnsi="Calibri" w:eastAsia="Calibri"/>
                <w:b/>
                <w:sz w:val="18"/>
              </w:rPr>
              <w:t>Clean macro F1</w:t>
            </w:r>
          </w:p>
        </w:tc>
        <w:tc>
          <w:tcPr>
            <w:tcW w:type="dxa" w:w="2098"/>
            <w:tcMar>
              <w:top w:w="80" w:type="dxa"/>
              <w:bottom w:w="80" w:type="dxa"/>
              <w:start w:w="120" w:type="dxa"/>
              <w:end w:w="120" w:type="dxa"/>
            </w:tcMar>
            <w:vAlign w:val="center"/>
            <w:shd w:fill="E8EEF5"/>
          </w:tcPr>
          <w:p>
            <w:pPr>
              <w:spacing w:after="0" w:line="240" w:lineRule="auto"/>
              <w:jc w:val="center"/>
            </w:pPr>
            <w:r/>
            <w:r>
              <w:rPr>
                <w:rFonts w:ascii="Calibri" w:hAnsi="Calibri" w:eastAsia="Calibri"/>
                <w:b/>
                <w:sz w:val="18"/>
              </w:rPr>
              <w:t>Perturbed macro F1 mean</w:t>
            </w:r>
          </w:p>
        </w:tc>
        <w:tc>
          <w:tcPr>
            <w:tcW w:type="dxa" w:w="1587"/>
            <w:tcMar>
              <w:top w:w="80" w:type="dxa"/>
              <w:bottom w:w="80" w:type="dxa"/>
              <w:start w:w="120" w:type="dxa"/>
              <w:end w:w="120" w:type="dxa"/>
            </w:tcMar>
            <w:vAlign w:val="center"/>
            <w:shd w:fill="E8EEF5"/>
          </w:tcPr>
          <w:p>
            <w:pPr>
              <w:spacing w:after="0" w:line="240" w:lineRule="auto"/>
              <w:jc w:val="center"/>
            </w:pPr>
            <w:r/>
            <w:r>
              <w:rPr>
                <w:rFonts w:ascii="Calibri" w:hAnsi="Calibri" w:eastAsia="Calibri"/>
                <w:b/>
                <w:sz w:val="18"/>
              </w:rPr>
              <w:t>Macro F1 drop</w:t>
            </w:r>
          </w:p>
        </w:tc>
        <w:tc>
          <w:tcPr>
            <w:tcW w:type="dxa" w:w="1587"/>
            <w:tcMar>
              <w:top w:w="80" w:type="dxa"/>
              <w:bottom w:w="80" w:type="dxa"/>
              <w:start w:w="120" w:type="dxa"/>
              <w:end w:w="120" w:type="dxa"/>
            </w:tcMar>
            <w:vAlign w:val="center"/>
            <w:shd w:fill="E8EEF5"/>
          </w:tcPr>
          <w:p>
            <w:pPr>
              <w:spacing w:after="0" w:line="240" w:lineRule="auto"/>
              <w:jc w:val="center"/>
            </w:pPr>
            <w:r/>
            <w:r>
              <w:rPr>
                <w:rFonts w:ascii="Calibri" w:hAnsi="Calibri" w:eastAsia="Calibri"/>
                <w:b/>
                <w:sz w:val="18"/>
              </w:rPr>
              <w:t>Perturbed false-action rate</w:t>
            </w:r>
          </w:p>
        </w:tc>
      </w:tr>
      <w:tr>
        <w:trPr>
          <w:cantSplit/>
        </w:trPr>
        <w:tc>
          <w:tcPr>
            <w:tcW w:type="dxa" w:w="2041"/>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c1t_direct</w:t>
            </w:r>
          </w:p>
        </w:tc>
        <w:tc>
          <w:tcPr>
            <w:tcW w:type="dxa" w:w="1701"/>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0.8502</w:t>
            </w:r>
          </w:p>
        </w:tc>
        <w:tc>
          <w:tcPr>
            <w:tcW w:type="dxa" w:w="2098"/>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0.8189</w:t>
            </w:r>
          </w:p>
        </w:tc>
        <w:tc>
          <w:tcPr>
            <w:tcW w:type="dxa" w:w="1587"/>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0.0312</w:t>
            </w:r>
          </w:p>
        </w:tc>
        <w:tc>
          <w:tcPr>
            <w:tcW w:type="dxa" w:w="1587"/>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0.1018</w:t>
            </w:r>
          </w:p>
        </w:tc>
      </w:tr>
      <w:tr>
        <w:trPr>
          <w:cantSplit/>
        </w:trPr>
        <w:tc>
          <w:tcPr>
            <w:tcW w:type="dxa" w:w="2041"/>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c3_hybrid</w:t>
            </w:r>
          </w:p>
        </w:tc>
        <w:tc>
          <w:tcPr>
            <w:tcW w:type="dxa" w:w="1701"/>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0.8522</w:t>
            </w:r>
          </w:p>
        </w:tc>
        <w:tc>
          <w:tcPr>
            <w:tcW w:type="dxa" w:w="2098"/>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0.8195</w:t>
            </w:r>
          </w:p>
        </w:tc>
        <w:tc>
          <w:tcPr>
            <w:tcW w:type="dxa" w:w="1587"/>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0.0327</w:t>
            </w:r>
          </w:p>
        </w:tc>
        <w:tc>
          <w:tcPr>
            <w:tcW w:type="dxa" w:w="1587"/>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0.0995</w:t>
            </w:r>
          </w:p>
        </w:tc>
      </w:tr>
      <w:tr>
        <w:trPr>
          <w:cantSplit/>
        </w:trPr>
        <w:tc>
          <w:tcPr>
            <w:tcW w:type="dxa" w:w="2041"/>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geometry_only</w:t>
            </w:r>
          </w:p>
        </w:tc>
        <w:tc>
          <w:tcPr>
            <w:tcW w:type="dxa" w:w="1701"/>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0.0873</w:t>
            </w:r>
          </w:p>
        </w:tc>
        <w:tc>
          <w:tcPr>
            <w:tcW w:type="dxa" w:w="2098"/>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0.0855</w:t>
            </w:r>
          </w:p>
        </w:tc>
        <w:tc>
          <w:tcPr>
            <w:tcW w:type="dxa" w:w="1587"/>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0.0018</w:t>
            </w:r>
          </w:p>
        </w:tc>
        <w:tc>
          <w:tcPr>
            <w:tcW w:type="dxa" w:w="1587"/>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0.7600</w:t>
            </w:r>
          </w:p>
        </w:tc>
      </w:tr>
      <w:tr>
        <w:trPr>
          <w:cantSplit/>
        </w:trPr>
        <w:tc>
          <w:tcPr>
            <w:tcW w:type="dxa" w:w="2041"/>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tcn_geometry_fusion</w:t>
            </w:r>
          </w:p>
        </w:tc>
        <w:tc>
          <w:tcPr>
            <w:tcW w:type="dxa" w:w="1701"/>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0.8513</w:t>
            </w:r>
          </w:p>
        </w:tc>
        <w:tc>
          <w:tcPr>
            <w:tcW w:type="dxa" w:w="2098"/>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0.8181</w:t>
            </w:r>
          </w:p>
        </w:tc>
        <w:tc>
          <w:tcPr>
            <w:tcW w:type="dxa" w:w="1587"/>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0.0332</w:t>
            </w:r>
          </w:p>
        </w:tc>
        <w:tc>
          <w:tcPr>
            <w:tcW w:type="dxa" w:w="1587"/>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0.1018</w:t>
            </w:r>
          </w:p>
        </w:tc>
      </w:tr>
    </w:tbl>
    <w:p/>
    <w:p>
      <w:pPr>
        <w:jc w:val="center"/>
      </w:pPr>
      <w:r>
        <w:drawing>
          <wp:inline xmlns:a="http://schemas.openxmlformats.org/drawingml/2006/main" xmlns:pic="http://schemas.openxmlformats.org/drawingml/2006/picture">
            <wp:extent cx="5943600" cy="3317358"/>
            <wp:docPr id="4" name="Picture 4"/>
            <wp:cNvGraphicFramePr>
              <a:graphicFrameLocks noChangeAspect="1"/>
            </wp:cNvGraphicFramePr>
            <a:graphic>
              <a:graphicData uri="http://schemas.openxmlformats.org/drawingml/2006/picture">
                <pic:pic>
                  <pic:nvPicPr>
                    <pic:cNvPr id="0" name="ablation.jpg"/>
                    <pic:cNvPicPr/>
                  </pic:nvPicPr>
                  <pic:blipFill>
                    <a:blip r:embed="rId14"/>
                    <a:stretch>
                      <a:fillRect/>
                    </a:stretch>
                  </pic:blipFill>
                  <pic:spPr>
                    <a:xfrm>
                      <a:off x="0" y="0"/>
                      <a:ext cx="5943600" cy="3317358"/>
                    </a:xfrm>
                    <a:prstGeom prst="rect"/>
                  </pic:spPr>
                </pic:pic>
              </a:graphicData>
            </a:graphic>
          </wp:inline>
        </w:drawing>
      </w:r>
    </w:p>
    <w:p>
      <w:pPr>
        <w:spacing w:before="40" w:after="160"/>
        <w:jc w:val="center"/>
      </w:pPr>
      <w:r>
        <w:rPr>
          <w:rFonts w:ascii="Calibri" w:hAnsi="Calibri" w:eastAsia="Calibri"/>
          <w:i/>
          <w:color w:val="5F5F5F"/>
          <w:sz w:val="18"/>
        </w:rPr>
        <w:t>Figure 4. Recognition ablation under perturbations.</w:t>
      </w:r>
    </w:p>
    <w:tbl>
      <w:tblPr>
        <w:tblStyle w:val="TableGrid"/>
        <w:tblW w:type="auto" w:w="0"/>
        <w:jc w:val="center"/>
        <w:tblLayout w:type="fixed"/>
        <w:tblLook w:firstColumn="1" w:firstRow="1" w:lastColumn="0" w:lastRow="0" w:noHBand="0" w:noVBand="1" w:val="04A0"/>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Pr>
      <w:tblGrid>
        <w:gridCol w:w="1560"/>
        <w:gridCol w:w="1560"/>
        <w:gridCol w:w="1560"/>
        <w:gridCol w:w="1560"/>
        <w:gridCol w:w="1560"/>
        <w:gridCol w:w="1560"/>
      </w:tblGrid>
      <w:tr>
        <w:trPr>
          <w:tblHeader w:val="true"/>
          <w:cantSplit/>
        </w:trPr>
        <w:tc>
          <w:tcPr>
            <w:tcW w:type="dxa" w:w="1587"/>
            <w:tcMar>
              <w:top w:w="80" w:type="dxa"/>
              <w:bottom w:w="80" w:type="dxa"/>
              <w:start w:w="120" w:type="dxa"/>
              <w:end w:w="120" w:type="dxa"/>
            </w:tcMar>
            <w:vAlign w:val="center"/>
            <w:shd w:fill="E8EEF5"/>
          </w:tcPr>
          <w:p>
            <w:pPr>
              <w:spacing w:after="0" w:line="240" w:lineRule="auto"/>
              <w:jc w:val="center"/>
            </w:pPr>
            <w:r/>
            <w:r>
              <w:rPr>
                <w:rFonts w:ascii="Calibri" w:hAnsi="Calibri" w:eastAsia="Calibri"/>
                <w:b/>
                <w:sz w:val="18"/>
              </w:rPr>
              <w:t>Method</w:t>
            </w:r>
          </w:p>
        </w:tc>
        <w:tc>
          <w:tcPr>
            <w:tcW w:type="dxa" w:w="1191"/>
            <w:tcMar>
              <w:top w:w="80" w:type="dxa"/>
              <w:bottom w:w="80" w:type="dxa"/>
              <w:start w:w="120" w:type="dxa"/>
              <w:end w:w="120" w:type="dxa"/>
            </w:tcMar>
            <w:vAlign w:val="center"/>
            <w:shd w:fill="E8EEF5"/>
          </w:tcPr>
          <w:p>
            <w:pPr>
              <w:spacing w:after="0" w:line="240" w:lineRule="auto"/>
              <w:jc w:val="center"/>
            </w:pPr>
            <w:r/>
            <w:r>
              <w:rPr>
                <w:rFonts w:ascii="Calibri" w:hAnsi="Calibri" w:eastAsia="Calibri"/>
                <w:b/>
                <w:sz w:val="18"/>
              </w:rPr>
              <w:t>Policy</w:t>
            </w:r>
          </w:p>
        </w:tc>
        <w:tc>
          <w:tcPr>
            <w:tcW w:type="dxa" w:w="1531"/>
            <w:tcMar>
              <w:top w:w="80" w:type="dxa"/>
              <w:bottom w:w="80" w:type="dxa"/>
              <w:start w:w="120" w:type="dxa"/>
              <w:end w:w="120" w:type="dxa"/>
            </w:tcMar>
            <w:vAlign w:val="center"/>
            <w:shd w:fill="E8EEF5"/>
          </w:tcPr>
          <w:p>
            <w:pPr>
              <w:spacing w:after="0" w:line="240" w:lineRule="auto"/>
              <w:jc w:val="center"/>
            </w:pPr>
            <w:r/>
            <w:r>
              <w:rPr>
                <w:rFonts w:ascii="Calibri" w:hAnsi="Calibri" w:eastAsia="Calibri"/>
                <w:b/>
                <w:sz w:val="18"/>
              </w:rPr>
              <w:t>Action precision</w:t>
            </w:r>
          </w:p>
        </w:tc>
        <w:tc>
          <w:tcPr>
            <w:tcW w:type="dxa" w:w="1417"/>
            <w:tcMar>
              <w:top w:w="80" w:type="dxa"/>
              <w:bottom w:w="80" w:type="dxa"/>
              <w:start w:w="120" w:type="dxa"/>
              <w:end w:w="120" w:type="dxa"/>
            </w:tcMar>
            <w:vAlign w:val="center"/>
            <w:shd w:fill="E8EEF5"/>
          </w:tcPr>
          <w:p>
            <w:pPr>
              <w:spacing w:after="0" w:line="240" w:lineRule="auto"/>
              <w:jc w:val="center"/>
            </w:pPr>
            <w:r/>
            <w:r>
              <w:rPr>
                <w:rFonts w:ascii="Calibri" w:hAnsi="Calibri" w:eastAsia="Calibri"/>
                <w:b/>
                <w:sz w:val="18"/>
              </w:rPr>
              <w:t>Action recall</w:t>
            </w:r>
          </w:p>
        </w:tc>
        <w:tc>
          <w:tcPr>
            <w:tcW w:type="dxa" w:w="1814"/>
            <w:tcMar>
              <w:top w:w="80" w:type="dxa"/>
              <w:bottom w:w="80" w:type="dxa"/>
              <w:start w:w="120" w:type="dxa"/>
              <w:end w:w="120" w:type="dxa"/>
            </w:tcMar>
            <w:vAlign w:val="center"/>
            <w:shd w:fill="E8EEF5"/>
          </w:tcPr>
          <w:p>
            <w:pPr>
              <w:spacing w:after="0" w:line="240" w:lineRule="auto"/>
              <w:jc w:val="center"/>
            </w:pPr>
            <w:r/>
            <w:r>
              <w:rPr>
                <w:rFonts w:ascii="Calibri" w:hAnsi="Calibri" w:eastAsia="Calibri"/>
                <w:b/>
                <w:sz w:val="18"/>
              </w:rPr>
              <w:t>Unintended action rate</w:t>
            </w:r>
          </w:p>
        </w:tc>
        <w:tc>
          <w:tcPr>
            <w:tcW w:type="dxa" w:w="1417"/>
            <w:tcMar>
              <w:top w:w="80" w:type="dxa"/>
              <w:bottom w:w="80" w:type="dxa"/>
              <w:start w:w="120" w:type="dxa"/>
              <w:end w:w="120" w:type="dxa"/>
            </w:tcMar>
            <w:vAlign w:val="center"/>
            <w:shd w:fill="E8EEF5"/>
          </w:tcPr>
          <w:p>
            <w:pPr>
              <w:spacing w:after="0" w:line="240" w:lineRule="auto"/>
              <w:jc w:val="center"/>
            </w:pPr>
            <w:r/>
            <w:r>
              <w:rPr>
                <w:rFonts w:ascii="Calibri" w:hAnsi="Calibri" w:eastAsia="Calibri"/>
                <w:b/>
                <w:sz w:val="18"/>
              </w:rPr>
              <w:t>False triggers / min</w:t>
            </w:r>
          </w:p>
        </w:tc>
      </w:tr>
      <w:tr>
        <w:trPr>
          <w:cantSplit/>
        </w:trPr>
        <w:tc>
          <w:tcPr>
            <w:tcW w:type="dxa" w:w="1587"/>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c1t_direct</w:t>
            </w:r>
          </w:p>
        </w:tc>
        <w:tc>
          <w:tcPr>
            <w:tcW w:type="dxa" w:w="1191"/>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c2</w:t>
            </w:r>
          </w:p>
        </w:tc>
        <w:tc>
          <w:tcPr>
            <w:tcW w:type="dxa" w:w="1531"/>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0.9613</w:t>
            </w:r>
          </w:p>
        </w:tc>
        <w:tc>
          <w:tcPr>
            <w:tcW w:type="dxa" w:w="1417"/>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0.9485</w:t>
            </w:r>
          </w:p>
        </w:tc>
        <w:tc>
          <w:tcPr>
            <w:tcW w:type="dxa" w:w="1814"/>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0.0387</w:t>
            </w:r>
          </w:p>
        </w:tc>
        <w:tc>
          <w:tcPr>
            <w:tcW w:type="dxa" w:w="1417"/>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2.235</w:t>
            </w:r>
          </w:p>
        </w:tc>
      </w:tr>
      <w:tr>
        <w:trPr>
          <w:cantSplit/>
        </w:trPr>
        <w:tc>
          <w:tcPr>
            <w:tcW w:type="dxa" w:w="1587"/>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c1t_direct</w:t>
            </w:r>
          </w:p>
        </w:tc>
        <w:tc>
          <w:tcPr>
            <w:tcW w:type="dxa" w:w="1191"/>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direct</w:t>
            </w:r>
          </w:p>
        </w:tc>
        <w:tc>
          <w:tcPr>
            <w:tcW w:type="dxa" w:w="1531"/>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0.8546</w:t>
            </w:r>
          </w:p>
        </w:tc>
        <w:tc>
          <w:tcPr>
            <w:tcW w:type="dxa" w:w="1417"/>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0.9084</w:t>
            </w:r>
          </w:p>
        </w:tc>
        <w:tc>
          <w:tcPr>
            <w:tcW w:type="dxa" w:w="1814"/>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0.1454</w:t>
            </w:r>
          </w:p>
        </w:tc>
        <w:tc>
          <w:tcPr>
            <w:tcW w:type="dxa" w:w="1417"/>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w:t>
            </w:r>
          </w:p>
        </w:tc>
      </w:tr>
      <w:tr>
        <w:trPr>
          <w:cantSplit/>
        </w:trPr>
        <w:tc>
          <w:tcPr>
            <w:tcW w:type="dxa" w:w="1587"/>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c3_hybrid</w:t>
            </w:r>
          </w:p>
        </w:tc>
        <w:tc>
          <w:tcPr>
            <w:tcW w:type="dxa" w:w="1191"/>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c2</w:t>
            </w:r>
          </w:p>
        </w:tc>
        <w:tc>
          <w:tcPr>
            <w:tcW w:type="dxa" w:w="1531"/>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0.9667</w:t>
            </w:r>
          </w:p>
        </w:tc>
        <w:tc>
          <w:tcPr>
            <w:tcW w:type="dxa" w:w="1417"/>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0.9427</w:t>
            </w:r>
          </w:p>
        </w:tc>
        <w:tc>
          <w:tcPr>
            <w:tcW w:type="dxa" w:w="1814"/>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0.0333</w:t>
            </w:r>
          </w:p>
        </w:tc>
        <w:tc>
          <w:tcPr>
            <w:tcW w:type="dxa" w:w="1417"/>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1.900</w:t>
            </w:r>
          </w:p>
        </w:tc>
      </w:tr>
      <w:tr>
        <w:trPr>
          <w:cantSplit/>
        </w:trPr>
        <w:tc>
          <w:tcPr>
            <w:tcW w:type="dxa" w:w="1587"/>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c3_hybrid</w:t>
            </w:r>
          </w:p>
        </w:tc>
        <w:tc>
          <w:tcPr>
            <w:tcW w:type="dxa" w:w="1191"/>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direct</w:t>
            </w:r>
          </w:p>
        </w:tc>
        <w:tc>
          <w:tcPr>
            <w:tcW w:type="dxa" w:w="1531"/>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0.8577</w:t>
            </w:r>
          </w:p>
        </w:tc>
        <w:tc>
          <w:tcPr>
            <w:tcW w:type="dxa" w:w="1417"/>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0.9084</w:t>
            </w:r>
          </w:p>
        </w:tc>
        <w:tc>
          <w:tcPr>
            <w:tcW w:type="dxa" w:w="1814"/>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0.1423</w:t>
            </w:r>
          </w:p>
        </w:tc>
        <w:tc>
          <w:tcPr>
            <w:tcW w:type="dxa" w:w="1417"/>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w:t>
            </w:r>
          </w:p>
        </w:tc>
      </w:tr>
    </w:tbl>
    <w:p/>
    <w:p>
      <w:pPr>
        <w:jc w:val="center"/>
      </w:pPr>
      <w:r>
        <w:drawing>
          <wp:inline xmlns:a="http://schemas.openxmlformats.org/drawingml/2006/main" xmlns:pic="http://schemas.openxmlformats.org/drawingml/2006/picture">
            <wp:extent cx="5943600" cy="3317358"/>
            <wp:docPr id="5" name="Picture 5"/>
            <wp:cNvGraphicFramePr>
              <a:graphicFrameLocks noChangeAspect="1"/>
            </wp:cNvGraphicFramePr>
            <a:graphic>
              <a:graphicData uri="http://schemas.openxmlformats.org/drawingml/2006/picture">
                <pic:pic>
                  <pic:nvPicPr>
                    <pic:cNvPr id="0" name="policy.jpg"/>
                    <pic:cNvPicPr/>
                  </pic:nvPicPr>
                  <pic:blipFill>
                    <a:blip r:embed="rId15"/>
                    <a:stretch>
                      <a:fillRect/>
                    </a:stretch>
                  </pic:blipFill>
                  <pic:spPr>
                    <a:xfrm>
                      <a:off x="0" y="0"/>
                      <a:ext cx="5943600" cy="3317358"/>
                    </a:xfrm>
                    <a:prstGeom prst="rect"/>
                  </pic:spPr>
                </pic:pic>
              </a:graphicData>
            </a:graphic>
          </wp:inline>
        </w:drawing>
      </w:r>
    </w:p>
    <w:p>
      <w:pPr>
        <w:spacing w:before="40" w:after="160"/>
        <w:jc w:val="center"/>
      </w:pPr>
      <w:r>
        <w:rPr>
          <w:rFonts w:ascii="Calibri" w:hAnsi="Calibri" w:eastAsia="Calibri"/>
          <w:i/>
          <w:color w:val="5F5F5F"/>
          <w:sz w:val="18"/>
        </w:rPr>
        <w:t>Figure 5. Interaction-policy false action risk.</w:t>
      </w:r>
    </w:p>
    <w:tbl>
      <w:tblPr>
        <w:tblStyle w:val="TableGrid"/>
        <w:tblW w:type="auto" w:w="0"/>
        <w:jc w:val="center"/>
        <w:tblLayout w:type="fixed"/>
        <w:tblLook w:firstColumn="1" w:firstRow="1" w:lastColumn="0" w:lastRow="0" w:noHBand="0" w:noVBand="1" w:val="04A0"/>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Pr>
      <w:tblGrid>
        <w:gridCol w:w="3120"/>
        <w:gridCol w:w="3120"/>
        <w:gridCol w:w="3120"/>
      </w:tblGrid>
      <w:tr>
        <w:trPr>
          <w:tblHeader w:val="true"/>
          <w:cantSplit/>
        </w:trPr>
        <w:tc>
          <w:tcPr>
            <w:tcW w:type="dxa" w:w="2494"/>
            <w:tcMar>
              <w:top w:w="80" w:type="dxa"/>
              <w:bottom w:w="80" w:type="dxa"/>
              <w:start w:w="120" w:type="dxa"/>
              <w:end w:w="120" w:type="dxa"/>
            </w:tcMar>
            <w:vAlign w:val="center"/>
            <w:shd w:fill="E8EEF5"/>
          </w:tcPr>
          <w:p>
            <w:pPr>
              <w:spacing w:after="0" w:line="240" w:lineRule="auto"/>
              <w:jc w:val="center"/>
            </w:pPr>
            <w:r/>
            <w:r>
              <w:rPr>
                <w:rFonts w:ascii="Calibri" w:hAnsi="Calibri" w:eastAsia="Calibri"/>
                <w:b/>
                <w:sz w:val="18"/>
              </w:rPr>
              <w:t>Live/task metric</w:t>
            </w:r>
          </w:p>
        </w:tc>
        <w:tc>
          <w:tcPr>
            <w:tcW w:type="dxa" w:w="2494"/>
            <w:tcMar>
              <w:top w:w="80" w:type="dxa"/>
              <w:bottom w:w="80" w:type="dxa"/>
              <w:start w:w="120" w:type="dxa"/>
              <w:end w:w="120" w:type="dxa"/>
            </w:tcMar>
            <w:vAlign w:val="center"/>
            <w:shd w:fill="E8EEF5"/>
          </w:tcPr>
          <w:p>
            <w:pPr>
              <w:spacing w:after="0" w:line="240" w:lineRule="auto"/>
              <w:jc w:val="center"/>
            </w:pPr>
            <w:r/>
            <w:r>
              <w:rPr>
                <w:rFonts w:ascii="Calibri" w:hAnsi="Calibri" w:eastAsia="Calibri"/>
                <w:b/>
                <w:sz w:val="18"/>
              </w:rPr>
              <w:t>Value</w:t>
            </w:r>
          </w:p>
        </w:tc>
        <w:tc>
          <w:tcPr>
            <w:tcW w:type="dxa" w:w="3969"/>
            <w:tcMar>
              <w:top w:w="80" w:type="dxa"/>
              <w:bottom w:w="80" w:type="dxa"/>
              <w:start w:w="120" w:type="dxa"/>
              <w:end w:w="120" w:type="dxa"/>
            </w:tcMar>
            <w:vAlign w:val="center"/>
            <w:shd w:fill="E8EEF5"/>
          </w:tcPr>
          <w:p>
            <w:pPr>
              <w:spacing w:after="0" w:line="240" w:lineRule="auto"/>
              <w:jc w:val="center"/>
            </w:pPr>
            <w:r/>
            <w:r>
              <w:rPr>
                <w:rFonts w:ascii="Calibri" w:hAnsi="Calibri" w:eastAsia="Calibri"/>
                <w:b/>
                <w:sz w:val="18"/>
              </w:rPr>
              <w:t>Meaning</w:t>
            </w:r>
          </w:p>
        </w:tc>
      </w:tr>
      <w:tr>
        <w:trPr>
          <w:cantSplit/>
        </w:trPr>
        <w:tc>
          <w:tcPr>
            <w:tcW w:type="dxa" w:w="2494"/>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Session</w:t>
            </w:r>
          </w:p>
        </w:tc>
        <w:tc>
          <w:tcPr>
            <w:tcW w:type="dxa" w:w="2494"/>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20260518_041817_334_webcam_onnx_placement</w:t>
            </w:r>
          </w:p>
        </w:tc>
        <w:tc>
          <w:tcPr>
            <w:tcW w:type="dxa" w:w="3969"/>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Latest task-level live report used as a diagnostic snapshot</w:t>
            </w:r>
          </w:p>
        </w:tc>
      </w:tr>
      <w:tr>
        <w:trPr>
          <w:cantSplit/>
        </w:trPr>
        <w:tc>
          <w:tcPr>
            <w:tcW w:type="dxa" w:w="2494"/>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Frames / duration</w:t>
            </w:r>
          </w:p>
        </w:tc>
        <w:tc>
          <w:tcPr>
            <w:tcW w:type="dxa" w:w="2494"/>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395 / 22.81 s</w:t>
            </w:r>
          </w:p>
        </w:tc>
        <w:tc>
          <w:tcPr>
            <w:tcW w:type="dxa" w:w="3969"/>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Captured live loop length</w:t>
            </w:r>
          </w:p>
        </w:tc>
      </w:tr>
      <w:tr>
        <w:trPr>
          <w:cantSplit/>
        </w:trPr>
        <w:tc>
          <w:tcPr>
            <w:tcW w:type="dxa" w:w="2494"/>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FPS mean / p95</w:t>
            </w:r>
          </w:p>
        </w:tc>
        <w:tc>
          <w:tcPr>
            <w:tcW w:type="dxa" w:w="2494"/>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17.26 / 20.50</w:t>
            </w:r>
          </w:p>
        </w:tc>
        <w:tc>
          <w:tcPr>
            <w:tcW w:type="dxa" w:w="3969"/>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Camera plus backend loop rate</w:t>
            </w:r>
          </w:p>
        </w:tc>
      </w:tr>
      <w:tr>
        <w:trPr>
          <w:cantSplit/>
        </w:trPr>
        <w:tc>
          <w:tcPr>
            <w:tcW w:type="dxa" w:w="2494"/>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Processing mean / p95</w:t>
            </w:r>
          </w:p>
        </w:tc>
        <w:tc>
          <w:tcPr>
            <w:tcW w:type="dxa" w:w="2494"/>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6.596 / 8.949 ms</w:t>
            </w:r>
          </w:p>
        </w:tc>
        <w:tc>
          <w:tcPr>
            <w:tcW w:type="dxa" w:w="3969"/>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Backend processing time</w:t>
            </w:r>
          </w:p>
        </w:tc>
      </w:tr>
      <w:tr>
        <w:trPr>
          <w:cantSplit/>
        </w:trPr>
        <w:tc>
          <w:tcPr>
            <w:tcW w:type="dxa" w:w="2494"/>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Detection-rate mean</w:t>
            </w:r>
          </w:p>
        </w:tc>
        <w:tc>
          <w:tcPr>
            <w:tcW w:type="dxa" w:w="2494"/>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0.8163</w:t>
            </w:r>
          </w:p>
        </w:tc>
        <w:tc>
          <w:tcPr>
            <w:tcW w:type="dxa" w:w="3969"/>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Average hand-detection availability</w:t>
            </w:r>
          </w:p>
        </w:tc>
      </w:tr>
      <w:tr>
        <w:trPr>
          <w:cantSplit/>
        </w:trPr>
        <w:tc>
          <w:tcPr>
            <w:tcW w:type="dxa" w:w="2494"/>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Pointer coverage</w:t>
            </w:r>
          </w:p>
        </w:tc>
        <w:tc>
          <w:tcPr>
            <w:tcW w:type="dxa" w:w="2494"/>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0.7823</w:t>
            </w:r>
          </w:p>
        </w:tc>
        <w:tc>
          <w:tcPr>
            <w:tcW w:type="dxa" w:w="3969"/>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Frames where AR pointer coordinates were available</w:t>
            </w:r>
          </w:p>
        </w:tc>
      </w:tr>
      <w:tr>
        <w:trPr>
          <w:cantSplit/>
        </w:trPr>
        <w:tc>
          <w:tcPr>
            <w:tcW w:type="dxa" w:w="2494"/>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Required-action coverage</w:t>
            </w:r>
          </w:p>
        </w:tc>
        <w:tc>
          <w:tcPr>
            <w:tcW w:type="dxa" w:w="2494"/>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0.0000</w:t>
            </w:r>
          </w:p>
        </w:tc>
        <w:tc>
          <w:tcPr>
            <w:tcW w:type="dxa" w:w="3969"/>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Scenario completion was not yet achieved</w:t>
            </w:r>
          </w:p>
        </w:tc>
      </w:tr>
    </w:tbl>
    <w:p/>
    <w:p>
      <w:pPr>
        <w:jc w:val="center"/>
      </w:pPr>
      <w:r>
        <w:drawing>
          <wp:inline xmlns:a="http://schemas.openxmlformats.org/drawingml/2006/main" xmlns:pic="http://schemas.openxmlformats.org/drawingml/2006/picture">
            <wp:extent cx="3931920" cy="6436008"/>
            <wp:docPr id="6" name="Picture 6"/>
            <wp:cNvGraphicFramePr>
              <a:graphicFrameLocks noChangeAspect="1"/>
            </wp:cNvGraphicFramePr>
            <a:graphic>
              <a:graphicData uri="http://schemas.openxmlformats.org/drawingml/2006/picture">
                <pic:pic>
                  <pic:nvPicPr>
                    <pic:cNvPr id="0" name="sorting.jpg"/>
                    <pic:cNvPicPr/>
                  </pic:nvPicPr>
                  <pic:blipFill>
                    <a:blip r:embed="rId16"/>
                    <a:stretch>
                      <a:fillRect/>
                    </a:stretch>
                  </pic:blipFill>
                  <pic:spPr>
                    <a:xfrm>
                      <a:off x="0" y="0"/>
                      <a:ext cx="3931920" cy="6436008"/>
                    </a:xfrm>
                    <a:prstGeom prst="rect"/>
                  </pic:spPr>
                </pic:pic>
              </a:graphicData>
            </a:graphic>
          </wp:inline>
        </w:drawing>
      </w:r>
    </w:p>
    <w:p>
      <w:pPr>
        <w:spacing w:before="40" w:after="160"/>
        <w:jc w:val="center"/>
      </w:pPr>
      <w:r>
        <w:rPr>
          <w:rFonts w:ascii="Calibri" w:hAnsi="Calibri" w:eastAsia="Calibri"/>
          <w:i/>
          <w:color w:val="5F5F5F"/>
          <w:sz w:val="18"/>
        </w:rPr>
        <w:t>Figure 6. Virtual Sorting AR scenario surface.</w:t>
      </w:r>
    </w:p>
    <w:tbl>
      <w:tblPr>
        <w:tblStyle w:val="TableGrid"/>
        <w:tblW w:type="auto" w:w="0"/>
        <w:jc w:val="center"/>
        <w:tblLayout w:type="fixed"/>
        <w:tblLook w:firstColumn="1" w:firstRow="1" w:lastColumn="0" w:lastRow="0" w:noHBand="0" w:noVBand="1" w:val="04A0"/>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Pr>
      <w:tblGrid>
        <w:gridCol w:w="3120"/>
        <w:gridCol w:w="3120"/>
        <w:gridCol w:w="3120"/>
      </w:tblGrid>
      <w:tr>
        <w:trPr>
          <w:tblHeader w:val="true"/>
          <w:cantSplit/>
        </w:trPr>
        <w:tc>
          <w:tcPr>
            <w:tcW w:type="dxa" w:w="680"/>
            <w:tcMar>
              <w:top w:w="80" w:type="dxa"/>
              <w:bottom w:w="80" w:type="dxa"/>
              <w:start w:w="120" w:type="dxa"/>
              <w:end w:w="120" w:type="dxa"/>
            </w:tcMar>
            <w:vAlign w:val="center"/>
            <w:shd w:fill="E2F0D9"/>
          </w:tcPr>
          <w:p>
            <w:pPr>
              <w:spacing w:after="0" w:line="240" w:lineRule="auto"/>
              <w:jc w:val="center"/>
            </w:pPr>
            <w:r/>
            <w:r>
              <w:rPr>
                <w:rFonts w:ascii="Calibri" w:hAnsi="Calibri" w:eastAsia="Calibri"/>
                <w:b/>
                <w:sz w:val="18"/>
              </w:rPr>
              <w:t>No.</w:t>
            </w:r>
          </w:p>
        </w:tc>
        <w:tc>
          <w:tcPr>
            <w:tcW w:type="dxa" w:w="4309"/>
            <w:tcMar>
              <w:top w:w="80" w:type="dxa"/>
              <w:bottom w:w="80" w:type="dxa"/>
              <w:start w:w="120" w:type="dxa"/>
              <w:end w:w="120" w:type="dxa"/>
            </w:tcMar>
            <w:vAlign w:val="center"/>
            <w:shd w:fill="E2F0D9"/>
          </w:tcPr>
          <w:p>
            <w:pPr>
              <w:spacing w:after="0" w:line="240" w:lineRule="auto"/>
              <w:jc w:val="center"/>
            </w:pPr>
            <w:r/>
            <w:r>
              <w:rPr>
                <w:rFonts w:ascii="Calibri" w:hAnsi="Calibri" w:eastAsia="Calibri"/>
                <w:b/>
                <w:sz w:val="18"/>
              </w:rPr>
              <w:t>Formula</w:t>
            </w:r>
          </w:p>
        </w:tc>
        <w:tc>
          <w:tcPr>
            <w:tcW w:type="dxa" w:w="3969"/>
            <w:tcMar>
              <w:top w:w="80" w:type="dxa"/>
              <w:bottom w:w="80" w:type="dxa"/>
              <w:start w:w="120" w:type="dxa"/>
              <w:end w:w="120" w:type="dxa"/>
            </w:tcMar>
            <w:vAlign w:val="center"/>
            <w:shd w:fill="E2F0D9"/>
          </w:tcPr>
          <w:p>
            <w:pPr>
              <w:spacing w:after="0" w:line="240" w:lineRule="auto"/>
              <w:jc w:val="center"/>
            </w:pPr>
            <w:r/>
            <w:r>
              <w:rPr>
                <w:rFonts w:ascii="Calibri" w:hAnsi="Calibri" w:eastAsia="Calibri"/>
                <w:b/>
                <w:sz w:val="18"/>
              </w:rPr>
              <w:t>Meaning in this project</w:t>
            </w:r>
          </w:p>
        </w:tc>
      </w:tr>
      <w:tr>
        <w:trPr>
          <w:cantSplit/>
        </w:trPr>
        <w:tc>
          <w:tcPr>
            <w:tcW w:type="dxa" w:w="680"/>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(5)</w:t>
            </w:r>
          </w:p>
        </w:tc>
        <w:tc>
          <w:tcPr>
            <w:tcW w:type="dxa" w:w="4309"/>
            <w:tcMar>
              <w:top w:w="80" w:type="dxa"/>
              <w:bottom w:w="80" w:type="dxa"/>
              <w:start w:w="120" w:type="dxa"/>
              <w:end w:w="120" w:type="dxa"/>
            </w:tcMar>
            <w:vAlign w:val="center"/>
          </w:tcPr>
          <w:p>
            <w:pPr>
              <w:spacing w:after="0" w:line="240" w:lineRule="auto"/>
              <w:jc w:val="left"/>
            </w:pPr>
            <w:r>
              <w:rPr>
                <w:rFonts w:ascii="Cambria Math" w:hAnsi="Cambria Math" w:eastAsia="Cambria Math"/>
              </w:rPr>
            </w:r>
            <w:r>
              <w:rPr>
                <w:rFonts w:ascii="Cambria Math" w:hAnsi="Cambria Math" w:eastAsia="Cambria Math"/>
                <w:b w:val="0"/>
                <w:sz w:val="18"/>
              </w:rPr>
              <w:t>p_k = softmax(W · GAP(TCN(Z)) + b)_k;  y_hat = argmax_k p_k</w:t>
            </w:r>
          </w:p>
        </w:tc>
        <w:tc>
          <w:tcPr>
            <w:tcW w:type="dxa" w:w="3969"/>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Temporal recognition maps the [32,74] sequence to a gesture label.</w:t>
            </w:r>
          </w:p>
        </w:tc>
      </w:tr>
      <w:tr>
        <w:trPr>
          <w:cantSplit/>
        </w:trPr>
        <w:tc>
          <w:tcPr>
            <w:tcW w:type="dxa" w:w="680"/>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(6)</w:t>
            </w:r>
          </w:p>
        </w:tc>
        <w:tc>
          <w:tcPr>
            <w:tcW w:type="dxa" w:w="4309"/>
            <w:tcMar>
              <w:top w:w="80" w:type="dxa"/>
              <w:bottom w:w="80" w:type="dxa"/>
              <w:start w:w="120" w:type="dxa"/>
              <w:end w:w="120" w:type="dxa"/>
            </w:tcMar>
            <w:vAlign w:val="center"/>
          </w:tcPr>
          <w:p>
            <w:pPr>
              <w:spacing w:after="0" w:line="240" w:lineRule="auto"/>
              <w:jc w:val="left"/>
            </w:pPr>
            <w:r>
              <w:rPr>
                <w:rFonts w:ascii="Cambria Math" w:hAnsi="Cambria Math" w:eastAsia="Cambria Math"/>
              </w:rPr>
            </w:r>
            <w:r>
              <w:rPr>
                <w:rFonts w:ascii="Cambria Math" w:hAnsi="Cambria Math" w:eastAsia="Cambria Math"/>
                <w:b w:val="0"/>
                <w:sz w:val="18"/>
              </w:rPr>
              <w:t>q_k = softmax(w_n log p_k + w_g r_k)</w:t>
            </w:r>
          </w:p>
        </w:tc>
        <w:tc>
          <w:tcPr>
            <w:tcW w:type="dxa" w:w="3969"/>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C3 Hybrid fuses neural probabilities with geometry-aware prior scores.</w:t>
            </w:r>
          </w:p>
        </w:tc>
      </w:tr>
      <w:tr>
        <w:trPr>
          <w:cantSplit/>
        </w:trPr>
        <w:tc>
          <w:tcPr>
            <w:tcW w:type="dxa" w:w="680"/>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(7)</w:t>
            </w:r>
          </w:p>
        </w:tc>
        <w:tc>
          <w:tcPr>
            <w:tcW w:type="dxa" w:w="4309"/>
            <w:tcMar>
              <w:top w:w="80" w:type="dxa"/>
              <w:bottom w:w="80" w:type="dxa"/>
              <w:start w:w="120" w:type="dxa"/>
              <w:end w:w="120" w:type="dxa"/>
            </w:tcMar>
            <w:vAlign w:val="center"/>
          </w:tcPr>
          <w:p>
            <w:pPr>
              <w:spacing w:after="0" w:line="240" w:lineRule="auto"/>
              <w:jc w:val="left"/>
            </w:pPr>
            <w:r>
              <w:rPr>
                <w:rFonts w:ascii="Cambria Math" w:hAnsi="Cambria Math" w:eastAsia="Cambria Math"/>
              </w:rPr>
            </w:r>
            <w:r>
              <w:rPr>
                <w:rFonts w:ascii="Cambria Math" w:hAnsi="Cambria Math" w:eastAsia="Cambria Math"/>
                <w:b w:val="0"/>
                <w:sz w:val="18"/>
              </w:rPr>
              <w:t>a(t)=g(y_hat(t)) if p_max≥τ, stable≥S, and t-t_last≥Δ; otherwise a(t)=∅</w:t>
            </w:r>
          </w:p>
        </w:tc>
        <w:tc>
          <w:tcPr>
            <w:tcW w:type="dxa" w:w="3969"/>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C2 emits an AR action only after confidence, stability, and cooldown checks.</w:t>
            </w:r>
          </w:p>
        </w:tc>
      </w:tr>
      <w:tr>
        <w:trPr>
          <w:cantSplit/>
        </w:trPr>
        <w:tc>
          <w:tcPr>
            <w:tcW w:type="dxa" w:w="680"/>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(8)</w:t>
            </w:r>
          </w:p>
        </w:tc>
        <w:tc>
          <w:tcPr>
            <w:tcW w:type="dxa" w:w="4309"/>
            <w:tcMar>
              <w:top w:w="80" w:type="dxa"/>
              <w:bottom w:w="80" w:type="dxa"/>
              <w:start w:w="120" w:type="dxa"/>
              <w:end w:w="120" w:type="dxa"/>
            </w:tcMar>
            <w:vAlign w:val="center"/>
          </w:tcPr>
          <w:p>
            <w:pPr>
              <w:spacing w:after="0" w:line="240" w:lineRule="auto"/>
              <w:jc w:val="left"/>
            </w:pPr>
            <w:r>
              <w:rPr>
                <w:rFonts w:ascii="Cambria Math" w:hAnsi="Cambria Math" w:eastAsia="Cambria Math"/>
              </w:rPr>
            </w:r>
            <w:r>
              <w:rPr>
                <w:rFonts w:ascii="Cambria Math" w:hAnsi="Cambria Math" w:eastAsia="Cambria Math"/>
                <w:b w:val="0"/>
                <w:sz w:val="18"/>
              </w:rPr>
              <w:t>FAR_no = FP_action(no_gesture) / N_no_gesture</w:t>
            </w:r>
          </w:p>
        </w:tc>
        <w:tc>
          <w:tcPr>
            <w:tcW w:type="dxa" w:w="3969"/>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False-action risk is measured specifically for frames/clips with no intended gesture.</w:t>
            </w:r>
          </w:p>
        </w:tc>
      </w:tr>
      <w:tr>
        <w:trPr>
          <w:cantSplit/>
        </w:trPr>
        <w:tc>
          <w:tcPr>
            <w:tcW w:type="dxa" w:w="680"/>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(9)</w:t>
            </w:r>
          </w:p>
        </w:tc>
        <w:tc>
          <w:tcPr>
            <w:tcW w:type="dxa" w:w="4309"/>
            <w:tcMar>
              <w:top w:w="80" w:type="dxa"/>
              <w:bottom w:w="80" w:type="dxa"/>
              <w:start w:w="120" w:type="dxa"/>
              <w:end w:w="120" w:type="dxa"/>
            </w:tcMar>
            <w:vAlign w:val="center"/>
          </w:tcPr>
          <w:p>
            <w:pPr>
              <w:spacing w:after="0" w:line="240" w:lineRule="auto"/>
              <w:jc w:val="left"/>
            </w:pPr>
            <w:r>
              <w:rPr>
                <w:rFonts w:ascii="Cambria Math" w:hAnsi="Cambria Math" w:eastAsia="Cambria Math"/>
              </w:rPr>
            </w:r>
            <w:r>
              <w:rPr>
                <w:rFonts w:ascii="Cambria Math" w:hAnsi="Cambria Math" w:eastAsia="Cambria Math"/>
                <w:b w:val="0"/>
                <w:sz w:val="18"/>
              </w:rPr>
              <w:t>Coverage_req = |A_req ∩ A_obs| / |A_req|</w:t>
            </w:r>
          </w:p>
        </w:tc>
        <w:tc>
          <w:tcPr>
            <w:tcW w:type="dxa" w:w="3969"/>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Task-level coverage measures whether the expected action set appeared in the live scenario.</w:t>
            </w:r>
          </w:p>
        </w:tc>
      </w:tr>
    </w:tbl>
    <w:p/>
    <w:tbl>
      <w:tblPr>
        <w:tblStyle w:val="TableGrid"/>
        <w:tblW w:type="auto" w:w="0"/>
        <w:jc w:val="center"/>
        <w:tblLayout w:type="fixed"/>
        <w:tblLook w:firstColumn="1" w:firstRow="1" w:lastColumn="0" w:lastRow="0" w:noHBand="0" w:noVBand="1" w:val="04A0"/>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Pr>
      <w:tblGrid>
        <w:gridCol w:w="4680"/>
        <w:gridCol w:w="4680"/>
      </w:tblGrid>
      <w:tr>
        <w:trPr>
          <w:tblHeader w:val="true"/>
          <w:cantSplit/>
        </w:trPr>
        <w:tc>
          <w:tcPr>
            <w:tcW w:type="dxa" w:w="2948"/>
            <w:tcMar>
              <w:top w:w="80" w:type="dxa"/>
              <w:bottom w:w="80" w:type="dxa"/>
              <w:start w:w="120" w:type="dxa"/>
              <w:end w:w="120" w:type="dxa"/>
            </w:tcMar>
            <w:vAlign w:val="center"/>
            <w:shd w:fill="E8EEF5"/>
          </w:tcPr>
          <w:p>
            <w:pPr>
              <w:spacing w:after="0" w:line="240" w:lineRule="auto"/>
              <w:jc w:val="center"/>
            </w:pPr>
            <w:r/>
            <w:r>
              <w:rPr>
                <w:rFonts w:ascii="Calibri" w:hAnsi="Calibri" w:eastAsia="Calibri"/>
                <w:b/>
                <w:sz w:val="18"/>
              </w:rPr>
              <w:t>Portability item</w:t>
            </w:r>
          </w:p>
        </w:tc>
        <w:tc>
          <w:tcPr>
            <w:tcW w:type="dxa" w:w="6009"/>
            <w:tcMar>
              <w:top w:w="80" w:type="dxa"/>
              <w:bottom w:w="80" w:type="dxa"/>
              <w:start w:w="120" w:type="dxa"/>
              <w:end w:w="120" w:type="dxa"/>
            </w:tcMar>
            <w:vAlign w:val="center"/>
            <w:shd w:fill="E8EEF5"/>
          </w:tcPr>
          <w:p>
            <w:pPr>
              <w:spacing w:after="0" w:line="240" w:lineRule="auto"/>
              <w:jc w:val="center"/>
            </w:pPr>
            <w:r/>
            <w:r>
              <w:rPr>
                <w:rFonts w:ascii="Calibri" w:hAnsi="Calibri" w:eastAsia="Calibri"/>
                <w:b/>
                <w:sz w:val="18"/>
              </w:rPr>
              <w:t>Current state</w:t>
            </w:r>
          </w:p>
        </w:tc>
      </w:tr>
      <w:tr>
        <w:trPr>
          <w:cantSplit/>
        </w:trPr>
        <w:tc>
          <w:tcPr>
            <w:tcW w:type="dxa" w:w="2948"/>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Model input contract</w:t>
            </w:r>
          </w:p>
        </w:tc>
        <w:tc>
          <w:tcPr>
            <w:tcW w:type="dxa" w:w="6009"/>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[1, 32, 74]</w:t>
            </w:r>
          </w:p>
        </w:tc>
      </w:tr>
      <w:tr>
        <w:trPr>
          <w:cantSplit/>
        </w:trPr>
        <w:tc>
          <w:tcPr>
            <w:tcW w:type="dxa" w:w="2948"/>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Pose representation</w:t>
            </w:r>
          </w:p>
        </w:tc>
        <w:tc>
          <w:tcPr>
            <w:tcW w:type="dxa" w:w="6009"/>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per-frame wrist-centered coordinates divided by palm scale</w:t>
            </w:r>
          </w:p>
        </w:tc>
      </w:tr>
      <w:tr>
        <w:trPr>
          <w:cantSplit/>
        </w:trPr>
        <w:tc>
          <w:tcPr>
            <w:tcW w:type="dxa" w:w="2948"/>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Motion feature count</w:t>
            </w:r>
          </w:p>
        </w:tc>
        <w:tc>
          <w:tcPr>
            <w:tcW w:type="dxa" w:w="6009"/>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11</w:t>
            </w:r>
          </w:p>
        </w:tc>
      </w:tr>
      <w:tr>
        <w:trPr>
          <w:cantSplit/>
        </w:trPr>
        <w:tc>
          <w:tcPr>
            <w:tcW w:type="dxa" w:w="2948"/>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C2 threshold / stable frames / cooldown</w:t>
            </w:r>
          </w:p>
        </w:tc>
        <w:tc>
          <w:tcPr>
            <w:tcW w:type="dxa" w:w="6009"/>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0.62 / 2 / 250 ms</w:t>
            </w:r>
          </w:p>
        </w:tc>
      </w:tr>
      <w:tr>
        <w:trPr>
          <w:cantSplit/>
        </w:trPr>
        <w:tc>
          <w:tcPr>
            <w:tcW w:type="dxa" w:w="2948"/>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ONNX export</w:t>
            </w:r>
          </w:p>
        </w:tc>
        <w:tc>
          <w:tcPr>
            <w:tcW w:type="dxa" w:w="6009"/>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Available</w:t>
            </w:r>
          </w:p>
        </w:tc>
      </w:tr>
      <w:tr>
        <w:trPr>
          <w:cantSplit/>
        </w:trPr>
        <w:tc>
          <w:tcPr>
            <w:tcW w:type="dxa" w:w="2948"/>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Core ML stage</w:t>
            </w:r>
          </w:p>
        </w:tc>
        <w:tc>
          <w:tcPr>
            <w:tcW w:type="dxa" w:w="6009"/>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conversion_deferred_to_macos_or_linux</w:t>
            </w:r>
          </w:p>
        </w:tc>
      </w:tr>
      <w:tr>
        <w:trPr>
          <w:cantSplit/>
        </w:trPr>
        <w:tc>
          <w:tcPr>
            <w:tcW w:type="dxa" w:w="2948"/>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Phone domain status</w:t>
            </w:r>
          </w:p>
        </w:tc>
        <w:tc>
          <w:tcPr>
            <w:tcW w:type="dxa" w:w="6009"/>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local_plan_ready_waiting_for_videos</w:t>
            </w:r>
          </w:p>
        </w:tc>
      </w:tr>
      <w:tr>
        <w:trPr>
          <w:cantSplit/>
        </w:trPr>
        <w:tc>
          <w:tcPr>
            <w:tcW w:type="dxa" w:w="2948"/>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Planned phone rear AR clips</w:t>
            </w:r>
          </w:p>
        </w:tc>
        <w:tc>
          <w:tcPr>
            <w:tcW w:type="dxa" w:w="6009"/>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35</w:t>
            </w:r>
          </w:p>
        </w:tc>
      </w:tr>
      <w:tr>
        <w:trPr>
          <w:cantSplit/>
        </w:trPr>
        <w:tc>
          <w:tcPr>
            <w:tcW w:type="dxa" w:w="2948"/>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Missing phone raw videos</w:t>
            </w:r>
          </w:p>
        </w:tc>
        <w:tc>
          <w:tcPr>
            <w:tcW w:type="dxa" w:w="6009"/>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35</w:t>
            </w:r>
          </w:p>
        </w:tc>
      </w:tr>
    </w:tbl>
    <w:p/>
    <w:p>
      <w:pPr>
        <w:pStyle w:val="Heading1"/>
      </w:pPr>
      <w:r>
        <w:t>3. Further Development and Final Target</w:t>
      </w:r>
    </w:p>
    <w:p>
      <w:pPr>
        <w:spacing w:line="264" w:lineRule="auto" w:after="120"/>
        <w:jc w:val="left"/>
      </w:pPr>
      <w:r>
        <w:rPr>
          <w:rFonts w:ascii="Calibri" w:hAnsi="Calibri" w:eastAsia="Calibri"/>
          <w:sz w:val="22"/>
        </w:rPr>
        <w:t>The final project should be a defensible master-level system rather than only a demonstration. It should show that temporal landmark recognition, a geometry-aware safety prior, and a context-aware action policy jointly improve practical AR interaction.</w:t>
      </w:r>
    </w:p>
    <w:p>
      <w:pPr>
        <w:jc w:val="center"/>
      </w:pPr>
      <w:r>
        <w:drawing>
          <wp:inline xmlns:a="http://schemas.openxmlformats.org/drawingml/2006/main" xmlns:pic="http://schemas.openxmlformats.org/drawingml/2006/picture">
            <wp:extent cx="5943600" cy="3046095"/>
            <wp:docPr id="7" name="Picture 7"/>
            <wp:cNvGraphicFramePr>
              <a:graphicFrameLocks noChangeAspect="1"/>
            </wp:cNvGraphicFramePr>
            <a:graphic>
              <a:graphicData uri="http://schemas.openxmlformats.org/drawingml/2006/picture">
                <pic:pic>
                  <pic:nvPicPr>
                    <pic:cNvPr id="0" name="final_target_roadmap_en.png"/>
                    <pic:cNvPicPr/>
                  </pic:nvPicPr>
                  <pic:blipFill>
                    <a:blip r:embed="rId17"/>
                    <a:stretch>
                      <a:fillRect/>
                    </a:stretch>
                  </pic:blipFill>
                  <pic:spPr>
                    <a:xfrm>
                      <a:off x="0" y="0"/>
                      <a:ext cx="5943600" cy="3046095"/>
                    </a:xfrm>
                    <a:prstGeom prst="rect"/>
                  </pic:spPr>
                </pic:pic>
              </a:graphicData>
            </a:graphic>
          </wp:inline>
        </w:drawing>
      </w:r>
    </w:p>
    <w:p>
      <w:pPr>
        <w:spacing w:before="40" w:after="160"/>
        <w:jc w:val="center"/>
      </w:pPr>
      <w:r>
        <w:rPr>
          <w:rFonts w:ascii="Calibri" w:hAnsi="Calibri" w:eastAsia="Calibri"/>
          <w:i/>
          <w:color w:val="5F5F5F"/>
          <w:sz w:val="18"/>
        </w:rPr>
        <w:t>Figure 7. Roadmap from current state to final thesis-ready system.</w:t>
      </w:r>
    </w:p>
    <w:tbl>
      <w:tblPr>
        <w:tblStyle w:val="TableGrid"/>
        <w:tblW w:type="auto" w:w="0"/>
        <w:jc w:val="center"/>
        <w:tblLayout w:type="fixed"/>
        <w:tblLook w:firstColumn="1" w:firstRow="1" w:lastColumn="0" w:lastRow="0" w:noHBand="0" w:noVBand="1" w:val="04A0"/>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Pr>
      <w:tblGrid>
        <w:gridCol w:w="3120"/>
        <w:gridCol w:w="3120"/>
        <w:gridCol w:w="3120"/>
      </w:tblGrid>
      <w:tr>
        <w:trPr>
          <w:tblHeader w:val="true"/>
          <w:cantSplit/>
        </w:trPr>
        <w:tc>
          <w:tcPr>
            <w:tcW w:type="dxa" w:w="2268"/>
            <w:tcMar>
              <w:top w:w="80" w:type="dxa"/>
              <w:bottom w:w="80" w:type="dxa"/>
              <w:start w:w="120" w:type="dxa"/>
              <w:end w:w="120" w:type="dxa"/>
            </w:tcMar>
            <w:vAlign w:val="center"/>
            <w:shd w:fill="E8EEF5"/>
          </w:tcPr>
          <w:p>
            <w:pPr>
              <w:spacing w:after="0" w:line="240" w:lineRule="auto"/>
              <w:jc w:val="center"/>
            </w:pPr>
            <w:r/>
            <w:r>
              <w:rPr>
                <w:rFonts w:ascii="Calibri" w:hAnsi="Calibri" w:eastAsia="Calibri"/>
                <w:b/>
                <w:sz w:val="18"/>
              </w:rPr>
              <w:t>Development area</w:t>
            </w:r>
          </w:p>
        </w:tc>
        <w:tc>
          <w:tcPr>
            <w:tcW w:type="dxa" w:w="3628"/>
            <w:tcMar>
              <w:top w:w="80" w:type="dxa"/>
              <w:bottom w:w="80" w:type="dxa"/>
              <w:start w:w="120" w:type="dxa"/>
              <w:end w:w="120" w:type="dxa"/>
            </w:tcMar>
            <w:vAlign w:val="center"/>
            <w:shd w:fill="E8EEF5"/>
          </w:tcPr>
          <w:p>
            <w:pPr>
              <w:spacing w:after="0" w:line="240" w:lineRule="auto"/>
              <w:jc w:val="center"/>
            </w:pPr>
            <w:r/>
            <w:r>
              <w:rPr>
                <w:rFonts w:ascii="Calibri" w:hAnsi="Calibri" w:eastAsia="Calibri"/>
                <w:b/>
                <w:sz w:val="18"/>
              </w:rPr>
              <w:t>Next work</w:t>
            </w:r>
          </w:p>
        </w:tc>
        <w:tc>
          <w:tcPr>
            <w:tcW w:type="dxa" w:w="3061"/>
            <w:tcMar>
              <w:top w:w="80" w:type="dxa"/>
              <w:bottom w:w="80" w:type="dxa"/>
              <w:start w:w="120" w:type="dxa"/>
              <w:end w:w="120" w:type="dxa"/>
            </w:tcMar>
            <w:vAlign w:val="center"/>
            <w:shd w:fill="E8EEF5"/>
          </w:tcPr>
          <w:p>
            <w:pPr>
              <w:spacing w:after="0" w:line="240" w:lineRule="auto"/>
              <w:jc w:val="center"/>
            </w:pPr>
            <w:r/>
            <w:r>
              <w:rPr>
                <w:rFonts w:ascii="Calibri" w:hAnsi="Calibri" w:eastAsia="Calibri"/>
                <w:b/>
                <w:sz w:val="18"/>
              </w:rPr>
              <w:t>Expected final evidence</w:t>
            </w:r>
          </w:p>
        </w:tc>
      </w:tr>
      <w:tr>
        <w:trPr>
          <w:cantSplit/>
        </w:trPr>
        <w:tc>
          <w:tcPr>
            <w:tcW w:type="dxa" w:w="2268"/>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Phone rear AR data</w:t>
            </w:r>
          </w:p>
        </w:tc>
        <w:tc>
          <w:tcPr>
            <w:tcW w:type="dxa" w:w="3628"/>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Record the planned 35 local clips and extract landmarks</w:t>
            </w:r>
          </w:p>
        </w:tc>
        <w:tc>
          <w:tcPr>
            <w:tcW w:type="dxa" w:w="3061"/>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Zero-shot and calibrated domain-shift report</w:t>
            </w:r>
          </w:p>
        </w:tc>
      </w:tr>
      <w:tr>
        <w:trPr>
          <w:cantSplit/>
        </w:trPr>
        <w:tc>
          <w:tcPr>
            <w:tcW w:type="dxa" w:w="2268"/>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C3 validation</w:t>
            </w:r>
          </w:p>
        </w:tc>
        <w:tc>
          <w:tcPr>
            <w:tcW w:type="dxa" w:w="3628"/>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Add bootstrap confidence intervals and scenario-specific sensitivity analysis</w:t>
            </w:r>
          </w:p>
        </w:tc>
        <w:tc>
          <w:tcPr>
            <w:tcW w:type="dxa" w:w="3061"/>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Statistically interpretable robustness section</w:t>
            </w:r>
          </w:p>
        </w:tc>
      </w:tr>
      <w:tr>
        <w:trPr>
          <w:cantSplit/>
        </w:trPr>
        <w:tc>
          <w:tcPr>
            <w:tcW w:type="dxa" w:w="2268"/>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C2 policy</w:t>
            </w:r>
          </w:p>
        </w:tc>
        <w:tc>
          <w:tcPr>
            <w:tcW w:type="dxa" w:w="3628"/>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Tune threshold, stable frames, and cooldown against task metrics</w:t>
            </w:r>
          </w:p>
        </w:tc>
        <w:tc>
          <w:tcPr>
            <w:tcW w:type="dxa" w:w="3061"/>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Direct vs C2 vs C3+C2 interaction comparison</w:t>
            </w:r>
          </w:p>
        </w:tc>
      </w:tr>
      <w:tr>
        <w:trPr>
          <w:cantSplit/>
        </w:trPr>
        <w:tc>
          <w:tcPr>
            <w:tcW w:type="dxa" w:w="2268"/>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AR task benchmark</w:t>
            </w:r>
          </w:p>
        </w:tc>
        <w:tc>
          <w:tcPr>
            <w:tcW w:type="dxa" w:w="3628"/>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Expand replay/live scenarios beyond placement and Virtual Sorting</w:t>
            </w:r>
          </w:p>
        </w:tc>
        <w:tc>
          <w:tcPr>
            <w:tcW w:type="dxa" w:w="3061"/>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Task success, false triggers/min, corrections/task</w:t>
            </w:r>
          </w:p>
        </w:tc>
      </w:tr>
      <w:tr>
        <w:trPr>
          <w:cantSplit/>
        </w:trPr>
        <w:tc>
          <w:tcPr>
            <w:tcW w:type="dxa" w:w="2268"/>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Mobile runtime</w:t>
            </w:r>
          </w:p>
        </w:tc>
        <w:tc>
          <w:tcPr>
            <w:tcW w:type="dxa" w:w="3628"/>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Complete Core ML conversion and iOS/RealityKit integration</w:t>
            </w:r>
          </w:p>
        </w:tc>
        <w:tc>
          <w:tcPr>
            <w:tcW w:type="dxa" w:w="3061"/>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Phone AR prototype using the same preprocessing contract</w:t>
            </w:r>
          </w:p>
        </w:tc>
      </w:tr>
      <w:tr>
        <w:trPr>
          <w:cantSplit/>
        </w:trPr>
        <w:tc>
          <w:tcPr>
            <w:tcW w:type="dxa" w:w="2268"/>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Thesis package</w:t>
            </w:r>
          </w:p>
        </w:tc>
        <w:tc>
          <w:tcPr>
            <w:tcW w:type="dxa" w:w="3628"/>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Freeze scripts, reports, charts, and reproducible commands</w:t>
            </w:r>
          </w:p>
        </w:tc>
        <w:tc>
          <w:tcPr>
            <w:tcW w:type="dxa" w:w="3061"/>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Repeatable experimental chapter and final defense artifacts</w:t>
            </w:r>
          </w:p>
        </w:tc>
      </w:tr>
    </w:tbl>
    <w:p/>
    <w:tbl>
      <w:tblPr>
        <w:tblStyle w:val="TableGrid"/>
        <w:tblW w:type="auto" w:w="0"/>
        <w:jc w:val="center"/>
        <w:tblLayout w:type="fixed"/>
        <w:tblLook w:firstColumn="1" w:firstRow="1" w:lastColumn="0" w:lastRow="0" w:noHBand="0" w:noVBand="1" w:val="04A0"/>
        <w:tblBorders>
          <w:top w:val="single" w:sz="4" w:space="0" w:color="C8CED8"/>
          <w:left w:val="single" w:sz="4" w:space="0" w:color="C8CED8"/>
          <w:bottom w:val="single" w:sz="4" w:space="0" w:color="C8CED8"/>
          <w:right w:val="single" w:sz="4" w:space="0" w:color="C8CED8"/>
          <w:insideH w:val="single" w:sz="4" w:space="0" w:color="C8CED8"/>
          <w:insideV w:val="single" w:sz="4" w:space="0" w:color="C8CED8"/>
        </w:tblBorders>
      </w:tblPr>
      <w:tblGrid>
        <w:gridCol w:w="3120"/>
        <w:gridCol w:w="3120"/>
        <w:gridCol w:w="3120"/>
      </w:tblGrid>
      <w:tr>
        <w:trPr>
          <w:tblHeader w:val="true"/>
          <w:cantSplit/>
        </w:trPr>
        <w:tc>
          <w:tcPr>
            <w:tcW w:type="dxa" w:w="680"/>
            <w:tcMar>
              <w:top w:w="80" w:type="dxa"/>
              <w:bottom w:w="80" w:type="dxa"/>
              <w:start w:w="120" w:type="dxa"/>
              <w:end w:w="120" w:type="dxa"/>
            </w:tcMar>
            <w:vAlign w:val="center"/>
            <w:shd w:fill="E2F0D9"/>
          </w:tcPr>
          <w:p>
            <w:pPr>
              <w:spacing w:after="0" w:line="240" w:lineRule="auto"/>
              <w:jc w:val="center"/>
            </w:pPr>
            <w:r/>
            <w:r>
              <w:rPr>
                <w:rFonts w:ascii="Calibri" w:hAnsi="Calibri" w:eastAsia="Calibri"/>
                <w:b/>
                <w:sz w:val="18"/>
              </w:rPr>
              <w:t>No.</w:t>
            </w:r>
          </w:p>
        </w:tc>
        <w:tc>
          <w:tcPr>
            <w:tcW w:type="dxa" w:w="4309"/>
            <w:tcMar>
              <w:top w:w="80" w:type="dxa"/>
              <w:bottom w:w="80" w:type="dxa"/>
              <w:start w:w="120" w:type="dxa"/>
              <w:end w:w="120" w:type="dxa"/>
            </w:tcMar>
            <w:vAlign w:val="center"/>
            <w:shd w:fill="E2F0D9"/>
          </w:tcPr>
          <w:p>
            <w:pPr>
              <w:spacing w:after="0" w:line="240" w:lineRule="auto"/>
              <w:jc w:val="center"/>
            </w:pPr>
            <w:r/>
            <w:r>
              <w:rPr>
                <w:rFonts w:ascii="Calibri" w:hAnsi="Calibri" w:eastAsia="Calibri"/>
                <w:b/>
                <w:sz w:val="18"/>
              </w:rPr>
              <w:t>Formula</w:t>
            </w:r>
          </w:p>
        </w:tc>
        <w:tc>
          <w:tcPr>
            <w:tcW w:type="dxa" w:w="3969"/>
            <w:tcMar>
              <w:top w:w="80" w:type="dxa"/>
              <w:bottom w:w="80" w:type="dxa"/>
              <w:start w:w="120" w:type="dxa"/>
              <w:end w:w="120" w:type="dxa"/>
            </w:tcMar>
            <w:vAlign w:val="center"/>
            <w:shd w:fill="E2F0D9"/>
          </w:tcPr>
          <w:p>
            <w:pPr>
              <w:spacing w:after="0" w:line="240" w:lineRule="auto"/>
              <w:jc w:val="center"/>
            </w:pPr>
            <w:r/>
            <w:r>
              <w:rPr>
                <w:rFonts w:ascii="Calibri" w:hAnsi="Calibri" w:eastAsia="Calibri"/>
                <w:b/>
                <w:sz w:val="18"/>
              </w:rPr>
              <w:t>Meaning in this project</w:t>
            </w:r>
          </w:p>
        </w:tc>
      </w:tr>
      <w:tr>
        <w:trPr>
          <w:cantSplit/>
        </w:trPr>
        <w:tc>
          <w:tcPr>
            <w:tcW w:type="dxa" w:w="680"/>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(10)</w:t>
            </w:r>
          </w:p>
        </w:tc>
        <w:tc>
          <w:tcPr>
            <w:tcW w:type="dxa" w:w="4309"/>
            <w:tcMar>
              <w:top w:w="80" w:type="dxa"/>
              <w:bottom w:w="80" w:type="dxa"/>
              <w:start w:w="120" w:type="dxa"/>
              <w:end w:w="120" w:type="dxa"/>
            </w:tcMar>
            <w:vAlign w:val="center"/>
          </w:tcPr>
          <w:p>
            <w:pPr>
              <w:spacing w:after="0" w:line="240" w:lineRule="auto"/>
              <w:jc w:val="left"/>
            </w:pPr>
            <w:r>
              <w:rPr>
                <w:rFonts w:ascii="Cambria Math" w:hAnsi="Cambria Math" w:eastAsia="Cambria Math"/>
              </w:rPr>
            </w:r>
            <w:r>
              <w:rPr>
                <w:rFonts w:ascii="Cambria Math" w:hAnsi="Cambria Math" w:eastAsia="Cambria Math"/>
                <w:b w:val="0"/>
                <w:sz w:val="18"/>
              </w:rPr>
              <w:t>Accuracy = trace(M) / sum(M)</w:t>
            </w:r>
          </w:p>
        </w:tc>
        <w:tc>
          <w:tcPr>
            <w:tcW w:type="dxa" w:w="3969"/>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Base recognition correctness on public and local domains.</w:t>
            </w:r>
          </w:p>
        </w:tc>
      </w:tr>
      <w:tr>
        <w:trPr>
          <w:cantSplit/>
        </w:trPr>
        <w:tc>
          <w:tcPr>
            <w:tcW w:type="dxa" w:w="680"/>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(11)</w:t>
            </w:r>
          </w:p>
        </w:tc>
        <w:tc>
          <w:tcPr>
            <w:tcW w:type="dxa" w:w="4309"/>
            <w:tcMar>
              <w:top w:w="80" w:type="dxa"/>
              <w:bottom w:w="80" w:type="dxa"/>
              <w:start w:w="120" w:type="dxa"/>
              <w:end w:w="120" w:type="dxa"/>
            </w:tcMar>
            <w:vAlign w:val="center"/>
          </w:tcPr>
          <w:p>
            <w:pPr>
              <w:spacing w:after="0" w:line="240" w:lineRule="auto"/>
              <w:jc w:val="left"/>
            </w:pPr>
            <w:r>
              <w:rPr>
                <w:rFonts w:ascii="Cambria Math" w:hAnsi="Cambria Math" w:eastAsia="Cambria Math"/>
              </w:rPr>
            </w:r>
            <w:r>
              <w:rPr>
                <w:rFonts w:ascii="Cambria Math" w:hAnsi="Cambria Math" w:eastAsia="Cambria Math"/>
                <w:b w:val="0"/>
                <w:sz w:val="18"/>
              </w:rPr>
              <w:t>MacroF1=(1/K)·Σ_i F1(i);  WeightedF1=Σ_i n_i·F1(i)/Σ_i n_i</w:t>
            </w:r>
          </w:p>
        </w:tc>
        <w:tc>
          <w:tcPr>
            <w:tcW w:type="dxa" w:w="3969"/>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Balanced and support-weighted quality for imbalanced gesture classes.</w:t>
            </w:r>
          </w:p>
        </w:tc>
      </w:tr>
      <w:tr>
        <w:trPr>
          <w:cantSplit/>
        </w:trPr>
        <w:tc>
          <w:tcPr>
            <w:tcW w:type="dxa" w:w="680"/>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(12)</w:t>
            </w:r>
          </w:p>
        </w:tc>
        <w:tc>
          <w:tcPr>
            <w:tcW w:type="dxa" w:w="4309"/>
            <w:tcMar>
              <w:top w:w="80" w:type="dxa"/>
              <w:bottom w:w="80" w:type="dxa"/>
              <w:start w:w="120" w:type="dxa"/>
              <w:end w:w="120" w:type="dxa"/>
            </w:tcMar>
            <w:vAlign w:val="center"/>
          </w:tcPr>
          <w:p>
            <w:pPr>
              <w:spacing w:after="0" w:line="240" w:lineRule="auto"/>
              <w:jc w:val="left"/>
            </w:pPr>
            <w:r>
              <w:rPr>
                <w:rFonts w:ascii="Cambria Math" w:hAnsi="Cambria Math" w:eastAsia="Cambria Math"/>
              </w:rPr>
            </w:r>
            <w:r>
              <w:rPr>
                <w:rFonts w:ascii="Cambria Math" w:hAnsi="Cambria Math" w:eastAsia="Cambria Math"/>
                <w:b w:val="0"/>
                <w:sz w:val="18"/>
              </w:rPr>
              <w:t>UAR = N_unintended / N_actions</w:t>
            </w:r>
          </w:p>
        </w:tc>
        <w:tc>
          <w:tcPr>
            <w:tcW w:type="dxa" w:w="3969"/>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Unintended-action rate is the main AR safety metric for interaction policy comparison.</w:t>
            </w:r>
          </w:p>
        </w:tc>
      </w:tr>
      <w:tr>
        <w:trPr>
          <w:cantSplit/>
        </w:trPr>
        <w:tc>
          <w:tcPr>
            <w:tcW w:type="dxa" w:w="680"/>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(13)</w:t>
            </w:r>
          </w:p>
        </w:tc>
        <w:tc>
          <w:tcPr>
            <w:tcW w:type="dxa" w:w="4309"/>
            <w:tcMar>
              <w:top w:w="80" w:type="dxa"/>
              <w:bottom w:w="80" w:type="dxa"/>
              <w:start w:w="120" w:type="dxa"/>
              <w:end w:w="120" w:type="dxa"/>
            </w:tcMar>
            <w:vAlign w:val="center"/>
          </w:tcPr>
          <w:p>
            <w:pPr>
              <w:spacing w:after="0" w:line="240" w:lineRule="auto"/>
              <w:jc w:val="center"/>
            </w:pPr>
            <w:r>
              <w:rPr>
                <w:rFonts w:ascii="Cambria Math" w:hAnsi="Cambria Math" w:eastAsia="Cambria Math"/>
              </w:rPr>
            </w:r>
            <w:r>
              <w:rPr>
                <w:rFonts w:ascii="Cambria Math" w:hAnsi="Cambria Math" w:eastAsia="Cambria Math"/>
                <w:b w:val="0"/>
                <w:sz w:val="18"/>
              </w:rPr>
              <w:t>Gap_D(m)=|m_IPN - m_phone|</w:t>
            </w:r>
          </w:p>
        </w:tc>
        <w:tc>
          <w:tcPr>
            <w:tcW w:type="dxa" w:w="3969"/>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Domain gap quantifies transfer from public IPN Hand to phone rear-camera AR clips.</w:t>
            </w:r>
          </w:p>
        </w:tc>
      </w:tr>
      <w:tr>
        <w:trPr>
          <w:cantSplit/>
        </w:trPr>
        <w:tc>
          <w:tcPr>
            <w:tcW w:type="dxa" w:w="680"/>
            <w:tcMar>
              <w:top w:w="80" w:type="dxa"/>
              <w:bottom w:w="80" w:type="dxa"/>
              <w:start w:w="120" w:type="dxa"/>
              <w:end w:w="120" w:type="dxa"/>
            </w:tcMar>
            <w:vAlign w:val="center"/>
          </w:tcPr>
          <w:p>
            <w:pPr>
              <w:spacing w:after="0" w:line="240" w:lineRule="auto"/>
              <w:jc w:val="center"/>
            </w:pPr>
            <w:r/>
            <w:r>
              <w:rPr>
                <w:rFonts w:ascii="Calibri" w:hAnsi="Calibri" w:eastAsia="Calibri"/>
                <w:b w:val="0"/>
                <w:sz w:val="18"/>
              </w:rPr>
              <w:t>(14)</w:t>
            </w:r>
          </w:p>
        </w:tc>
        <w:tc>
          <w:tcPr>
            <w:tcW w:type="dxa" w:w="4309"/>
            <w:tcMar>
              <w:top w:w="80" w:type="dxa"/>
              <w:bottom w:w="80" w:type="dxa"/>
              <w:start w:w="120" w:type="dxa"/>
              <w:end w:w="120" w:type="dxa"/>
            </w:tcMar>
            <w:vAlign w:val="center"/>
          </w:tcPr>
          <w:p>
            <w:pPr>
              <w:spacing w:after="0" w:line="240" w:lineRule="auto"/>
              <w:jc w:val="left"/>
            </w:pPr>
            <w:r>
              <w:rPr>
                <w:rFonts w:ascii="Cambria Math" w:hAnsi="Cambria Math" w:eastAsia="Cambria Math"/>
              </w:rPr>
            </w:r>
            <w:r>
              <w:rPr>
                <w:rFonts w:ascii="Cambria Math" w:hAnsi="Cambria Math" w:eastAsia="Cambria Math"/>
                <w:b w:val="0"/>
                <w:sz w:val="18"/>
              </w:rPr>
              <w:t>Score = m_robust - λ·FAR - μ·Latency</w:t>
            </w:r>
          </w:p>
        </w:tc>
        <w:tc>
          <w:tcPr>
            <w:tcW w:type="dxa" w:w="3969"/>
            <w:tcMar>
              <w:top w:w="80" w:type="dxa"/>
              <w:bottom w:w="80" w:type="dxa"/>
              <w:start w:w="120" w:type="dxa"/>
              <w:end w:w="120" w:type="dxa"/>
            </w:tcMar>
            <w:vAlign w:val="center"/>
          </w:tcPr>
          <w:p>
            <w:pPr>
              <w:spacing w:after="0" w:line="240" w:lineRule="auto"/>
              <w:jc w:val="left"/>
            </w:pPr>
            <w:r/>
            <w:r>
              <w:rPr>
                <w:rFonts w:ascii="Calibri" w:hAnsi="Calibri" w:eastAsia="Calibri"/>
                <w:b w:val="0"/>
                <w:sz w:val="18"/>
              </w:rPr>
              <w:t>Final model selection should balance robustness, false actions, and runtime.</w:t>
            </w:r>
          </w:p>
        </w:tc>
      </w:tr>
    </w:tbl>
    <w:p/>
    <w:p>
      <w:pPr>
        <w:spacing w:line="264" w:lineRule="auto" w:after="120"/>
        <w:jc w:val="left"/>
      </w:pPr>
      <w:r>
        <w:rPr>
          <w:rFonts w:ascii="Calibri" w:hAnsi="Calibri" w:eastAsia="Calibri"/>
          <w:sz w:val="22"/>
        </w:rPr>
        <w:t>The intended final system is an AR gesture interaction stack that can be described, reproduced, measured, and defended: public-data training and robustness, local phone-domain validation, ONNX/Core ML portability, task-level AR evaluation, and a clear statement of remaining limitations.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5F5F"/>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5F5F"/>
        <w:sz w:val="18"/>
      </w:rPr>
      <w:t>Gesture AR Project State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Gesture AR Project State Report</dc:title>
  <dc:subject>Current project state, measurements, formulas, charts, and development plan</dc:subject>
  <dc:creator>Maksim Iuzhakov</dc:creator>
  <cp:keywords>AR, gesture recognition, TCN, C3 Hybrid, C2 Gate, landmarks, ONNX, Core ML</cp:keywords>
  <dc:description>generated by python-docx</dc:description>
  <cp:lastModifiedBy/>
  <cp:revision>1</cp:revision>
  <dcterms:created xsi:type="dcterms:W3CDTF">2026-05-26T00:00:00Z</dcterms:created>
  <dcterms:modified xsi:type="dcterms:W3CDTF">2013-12-23T23:15:00Z</dcterms:modified>
  <cp:category/>
</cp:coreProperties>
</file>