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b/>
          <w:bCs/>
          <w:color w:val="2E75B6"/>
          <w:sz w:val="36"/>
          <w:szCs w:val="36"/>
        </w:rPr>
        <w:t xml:space="preserve">SOLUTIONS INNOVANTES AU LAYER MISMATCH</w:t>
      </w:r>
    </w:p>
    <w:p>
      <w:pPr>
        <w:spacing w:after="960"/>
        <w:jc w:val="center"/>
      </w:pPr>
      <w:r>
        <w:rPr>
          <w:b/>
          <w:bCs/>
          <w:color w:val="5B9BD5"/>
          <w:sz w:val="28"/>
          <w:szCs w:val="28"/>
        </w:rPr>
        <w:t xml:space="preserve">Analyse Mathématique Approfondie</w:t>
      </w:r>
    </w:p>
    <w:p>
      <w:pPr>
        <w:spacing w:after="240"/>
        <w:jc w:val="center"/>
      </w:pPr>
      <w:r>
        <w:rPr>
          <w:i/>
          <w:iCs/>
          <w:sz w:val="24"/>
          <w:szCs w:val="24"/>
        </w:rPr>
        <w:t xml:space="preserve">FedOsmosis • FedResonance • Hybrid</w:t>
      </w:r>
    </w:p>
    <w:p>
      <w:r>
        <w:br w:type="page"/>
      </w:r>
    </w:p>
    <w:p>
      <w:pPr>
        <w:pStyle w:val="Heading1"/>
      </w:pPr>
      <w:r>
        <w:t xml:space="preserve">Table des Matières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Le Problème du Layer Mismatch</w:t>
      </w:r>
    </w:p>
    <w:p>
      <w:pPr>
        <w:spacing w:after="240"/>
      </w:pPr>
      <w:r>
        <w:t xml:space="preserve">En Federated Learning, le layer mismatch survient lorsque les couches agrégées du modèle global ne correspondent plus aux attentes des couches locales des clients. Ce désalignement se manifeste mathématiquement par une incompatibilité entre les distributions d'activations.</w:t>
      </w:r>
    </w:p>
    <w:p>
      <w:pPr>
        <w:spacing w:after="360"/>
      </w:pPr>
      <w:r>
        <w:rPr>
          <w:b/>
          <w:bCs/>
        </w:rPr>
        <w:t xml:space="preserve">Problème formel: </w:t>
      </w:r>
      <w:r>
        <w:t xml:space="preserve">Si la couche Lᵢ (globale) produit des activations z suivant une distribution P(z|W_global), mais que la couche Lᵢ₊₁ (locale) a été entraînée à recevoir des activations suivant P(z|W_local), alors P(z|W_global) ≠ P(z|W_local) → divergence et perte de performance.</w:t>
      </w:r>
    </w:p>
    <w:p>
      <w:pPr>
        <w:pStyle w:val="Heading2"/>
      </w:pPr>
      <w:r>
        <w:t xml:space="preserve">Vue d'Ensemble des Solutions Proposées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Solution</w:t>
            </w:r>
          </w:p>
        </w:tc>
        <w:tc>
          <w:tcPr>
            <w:tcW w:type="dxa" w:w="351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Principe</w:t>
            </w:r>
          </w:p>
        </w:tc>
        <w:tc>
          <w:tcPr>
            <w:tcW w:type="dxa" w:w="351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r>
              <w:rPr>
                <w:b/>
                <w:bCs/>
                <w:color w:val="FFFFFF"/>
              </w:rPr>
              <w:t xml:space="preserve">Originalité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FedOsmosis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Équilibrage par potentiel chimique (KL-divergence comme pression)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Analogie thermodynamique inédite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FedResonance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Harmonisation spectrale (filtrage SVD des gradients)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Application SVD nouvelle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Hybrid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Combinaison synergique: filtrage + régularisation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Double mécanisme complémentaire</w:t>
            </w:r>
          </w:p>
        </w:tc>
      </w:tr>
    </w:tbl>
    <w:p>
      <w:r>
        <w:br w:type="page"/>
      </w:r>
    </w:p>
    <w:p>
      <w:pPr>
        <w:pStyle w:val="Heading1"/>
      </w:pPr>
      <w:r>
        <w:t xml:space="preserve">1. FedOsmosis: Équilibrage par Potentiel Chimique</w:t>
      </w:r>
    </w:p>
    <w:p>
      <w:pPr>
        <w:pStyle w:val="Heading2"/>
      </w:pPr>
      <w:r>
        <w:t xml:space="preserve">1.1 Fondements Théoriques</w:t>
      </w:r>
    </w:p>
    <w:p>
      <w:pPr>
        <w:pStyle w:val="Heading3"/>
      </w:pPr>
      <w:r>
        <w:t xml:space="preserve">Analogie Thermodynamique</w:t>
      </w:r>
    </w:p>
    <w:p>
      <w:pPr>
        <w:spacing w:after="240"/>
      </w:pPr>
      <w:r>
        <w:t xml:space="preserve">L'osmose est un phénomène physique où deux solutions de concentrations différentes, séparées par une membrane semi-perméable, tendent vers un équilibre. Le flux de solvant s'effectue de la solution diluée vers la solution concentrée jusqu'à égalisation des potentiels chimiques μ.</w:t>
      </w:r>
    </w:p>
    <w:p>
      <w:pPr>
        <w:spacing w:after="180"/>
      </w:pPr>
      <w:r>
        <w:rPr>
          <w:b/>
          <w:bCs/>
          <w:sz w:val="26"/>
          <w:szCs w:val="26"/>
        </w:rPr>
        <w:t xml:space="preserve">Transposition au Federated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Concept Physique</w:t>
            </w:r>
          </w:p>
        </w:tc>
        <w:tc>
          <w:tcPr>
            <w:tcW w:type="dxa" w:w="31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w:t>
            </w:r>
          </w:p>
        </w:tc>
        <w:tc>
          <w:tcPr>
            <w:tcW w:type="dxa" w:w="312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Équivalent FL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1 (concentrée)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Distribution activations globales P(z_global)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2 (diluée)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Distribution activations locales P(z_local)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Membrane semi-perméable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 entre couches i et i+1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Flux de solvant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Gradient flow (rétropropagation)</w:t>
            </w:r>
          </w:p>
        </w:tc>
      </w:tr>
      <w:tr>
        <w:tc>
          <w:tcPr>
            <w:tcW w:type="dxa" w:w="312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r>
              <w:rPr>
                <w:b/>
                <w:bCs/>
              </w:rPr>
              <w:t xml:space="preserve">Pression osmotique Π</w:t>
            </w:r>
          </w:p>
        </w:tc>
        <w:tc>
          <w:tcPr>
            <w:tcW w:type="dxa" w:w="312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r>
              <w:rPr>
                <w:b/>
                <w:bCs/>
              </w:rPr>
              <w:t xml:space="preserve">→</w:t>
            </w:r>
          </w:p>
        </w:tc>
        <w:tc>
          <w:tcPr>
            <w:tcW w:type="dxa" w:w="3120"/>
            <w:tcBorders>
              <w:top w:val="single" w:color="CCCCCC" w:sz="1"/>
              <w:left w:val="single" w:color="CCCCCC" w:sz="1"/>
              <w:bottom w:val="single" w:color="CCCCCC" w:sz="1"/>
              <w:right w:val="single" w:color="CCCCCC" w:sz="1"/>
            </w:tcBorders>
            <w:shd w:fill="E2EFD9" w:val="clear"/>
            <w:tcMar>
              <w:top w:type="dxa" w:w="80"/>
              <w:left w:type="dxa" w:w="120"/>
              <w:bottom w:type="dxa" w:w="80"/>
              <w:right w:type="dxa" w:w="120"/>
            </w:tcMar>
          </w:tcPr>
          <w:p>
            <w:r>
              <w:rPr>
                <w:b/>
                <w:bCs/>
              </w:rPr>
              <w:t xml:space="preserve">KL-divergence D_KL(P_global || P_local)</w:t>
            </w:r>
          </w:p>
        </w:tc>
      </w:tr>
    </w:tbl>
    <w:p>
      <w:r>
        <w:br w:type="page"/>
      </w:r>
    </w:p>
    <w:p>
      <w:pPr>
        <w:pStyle w:val="Heading3"/>
      </w:pPr>
      <w:r>
        <w:t xml:space="preserve">Formalisation Mathématique</w:t>
      </w:r>
    </w:p>
    <w:p>
      <w:pPr>
        <w:spacing w:after="180"/>
      </w:pPr>
      <w:r>
        <w:rPr>
          <w:b/>
          <w:bCs/>
        </w:rPr>
        <w:t xml:space="preserve">Objectif d'optimisation:</w:t>
      </w:r>
    </w:p>
    <w:p>
      <w:pPr>
        <w:spacing w:before="240" w:after="240"/>
        <w:jc w:val="center"/>
      </w:pPr>
      <w:r>
        <w:rPr>
          <w:rFonts w:ascii="Cambria Math" w:cs="Cambria Math" w:eastAsia="Cambria Math" w:hAnsi="Cambria Math"/>
          <w:b/>
          <w:bCs/>
          <w:color w:val="2E75B6"/>
          <w:sz w:val="28"/>
          <w:szCs w:val="28"/>
        </w:rPr>
        <w:t xml:space="preserve">L_total = L_task + γ · ∑(i=1 to L-1) Πᵢ</w:t>
      </w:r>
    </w:p>
    <w:p>
      <w:pPr>
        <w:spacing w:after="120"/>
      </w:pPr>
      <w:r>
        <w:t xml:space="preserve">où:</w:t>
      </w:r>
    </w:p>
    <w:p>
      <w:pPr>
        <w:pStyle w:val="ListParagraph"/>
        <w:numPr>
          <w:ilvl w:val="0"/>
          <w:numId w:val="2"/>
        </w:numPr>
      </w:pPr>
      <w:r>
        <w:rPr>
          <w:b/>
          <w:bCs/>
        </w:rPr>
        <w:t xml:space="preserve">L_task: </w:t>
      </w:r>
      <w:r>
        <w:t xml:space="preserve">Loss de la tâche (ex: cross-entropy)</w:t>
      </w:r>
    </w:p>
    <w:p>
      <w:pPr>
        <w:pStyle w:val="ListParagraph"/>
        <w:numPr>
          <w:ilvl w:val="0"/>
          <w:numId w:val="2"/>
        </w:numPr>
      </w:pPr>
      <w:r>
        <w:rPr>
          <w:b/>
          <w:bCs/>
        </w:rPr>
        <w:t xml:space="preserve">Πᵢ: </w:t>
      </w:r>
      <w:r>
        <w:t xml:space="preserve">Pression osmotique à l'interface couche i → couche i+1</w:t>
      </w:r>
    </w:p>
    <w:p>
      <w:pPr>
        <w:pStyle w:val="ListParagraph"/>
        <w:numPr>
          <w:ilvl w:val="0"/>
          <w:numId w:val="2"/>
        </w:numPr>
      </w:pPr>
      <w:r>
        <w:rPr>
          <w:b/>
          <w:bCs/>
        </w:rPr>
        <w:t xml:space="preserve">γ: </w:t>
      </w:r>
      <w:r>
        <w:t xml:space="preserve">Coefficient de régularisation (contrôle l'intensité de l'équilibrage)</w:t>
      </w:r>
    </w:p>
    <w:p>
      <w:pPr>
        <w:spacing w:before="360" w:after="180"/>
      </w:pPr>
      <w:r>
        <w:rPr>
          <w:b/>
          <w:bCs/>
        </w:rPr>
        <w:t xml:space="preserve">Définition de la pression osmotique:</w:t>
      </w:r>
    </w:p>
    <w:p>
      <w:pPr>
        <w:spacing w:before="180" w:after="180"/>
        <w:jc w:val="center"/>
      </w:pPr>
      <w:r>
        <w:rPr>
          <w:rFonts w:ascii="Cambria Math" w:cs="Cambria Math" w:eastAsia="Cambria Math" w:hAnsi="Cambria Math"/>
          <w:sz w:val="26"/>
          <w:szCs w:val="26"/>
        </w:rPr>
        <w:t xml:space="preserve">Πᵢ = D_KL(P(zᵢ|W_global) || P(zᵢ|W_local))</w:t>
      </w:r>
    </w:p>
    <w:p>
      <w:pPr>
        <w:spacing w:after="240"/>
      </w:pPr>
      <w:r>
        <w:t xml:space="preserve">où D_KL est la divergence de Kullback-Leibler qui mesure la différence entre deux distributions de probabilité.</w:t>
      </w:r>
    </w:p>
    <w:p>
      <w:r>
        <w:br w:type="page"/>
      </w:r>
    </w:p>
    <w:p>
      <w:pPr>
        <w:pStyle w:val="Heading2"/>
      </w:pPr>
      <w:r>
        <w:t xml:space="preserve">1.2 Compréhension de la KL-Divergence</w:t>
      </w:r>
    </w:p>
    <w:p>
      <w:pPr>
        <w:pStyle w:val="Heading3"/>
      </w:pPr>
      <w:r>
        <w:t xml:space="preserve">Propriétés Fondamentales</w:t>
      </w:r>
    </w:p>
    <w:p>
      <w:pPr>
        <w:spacing w:after="180"/>
      </w:pPr>
      <w:r>
        <w:rPr>
          <w:b/>
          <w:bCs/>
        </w:rPr>
        <w:t xml:space="preserve">La divergence de Kullback-Leibler D_KL(P||Q) possède les propriétés suivantes:</w:t>
      </w:r>
    </w:p>
    <w:p>
      <w:pPr>
        <w:pStyle w:val="ListParagraph"/>
        <w:numPr>
          <w:ilvl w:val="0"/>
          <w:numId w:val="3"/>
        </w:numPr>
      </w:pPr>
      <w:r>
        <w:rPr>
          <w:b/>
          <w:bCs/>
        </w:rPr>
        <w:t xml:space="preserve">Positivité: </w:t>
      </w:r>
      <w:r>
        <w:t xml:space="preserve">D_KL(P||Q) ≥ 0 toujours</w:t>
      </w:r>
    </w:p>
    <w:p>
      <w:pPr>
        <w:pStyle w:val="ListParagraph"/>
        <w:numPr>
          <w:ilvl w:val="0"/>
          <w:numId w:val="3"/>
        </w:numPr>
      </w:pPr>
      <w:r>
        <w:rPr>
          <w:b/>
          <w:bCs/>
        </w:rPr>
        <w:t xml:space="preserve">Identité: </w:t>
      </w:r>
      <w:r>
        <w:t xml:space="preserve">D_KL(P||Q) = 0 si et seulement si P = Q</w:t>
      </w:r>
    </w:p>
    <w:p>
      <w:pPr>
        <w:pStyle w:val="ListParagraph"/>
        <w:numPr>
          <w:ilvl w:val="0"/>
          <w:numId w:val="3"/>
        </w:numPr>
      </w:pPr>
      <w:r>
        <w:rPr>
          <w:b/>
          <w:bCs/>
        </w:rPr>
        <w:t xml:space="preserve">Asymétrie: </w:t>
      </w:r>
      <w:r>
        <w:t xml:space="preserve">D_KL(P||Q) ≠ D_KL(Q||P) en général</w:t>
      </w:r>
    </w:p>
    <w:p>
      <w:pPr>
        <w:spacing w:before="360" w:after="180"/>
      </w:pPr>
      <w:r>
        <w:rPr>
          <w:b/>
          <w:bCs/>
          <w:sz w:val="26"/>
          <w:szCs w:val="26"/>
        </w:rPr>
        <w:t xml:space="preserve">Interprétation de la Valeur de D_KL: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D_KL</w:t>
            </w:r>
          </w:p>
        </w:tc>
        <w:tc>
          <w:tcPr>
            <w:tcW w:type="dxa" w:w="156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Différence</w:t>
            </w:r>
          </w:p>
        </w:tc>
        <w:tc>
          <w:tcPr>
            <w:tcW w:type="dxa" w:w="312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Pression Π</w:t>
            </w:r>
          </w:p>
        </w:tc>
        <w:tc>
          <w:tcPr>
            <w:tcW w:type="dxa" w:w="312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Action Requise</w:t>
            </w:r>
          </w:p>
        </w:tc>
      </w:tr>
      <w:tr>
        <w:tc>
          <w:tcPr>
            <w:tcW w:type="dxa" w:w="156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0 - 0.01</w:t>
            </w:r>
          </w:p>
        </w:tc>
        <w:tc>
          <w:tcPr>
            <w:tcW w:type="dxa" w:w="156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Quasi-identiques</w:t>
            </w:r>
          </w:p>
        </w:tc>
        <w:tc>
          <w:tcPr>
            <w:tcW w:type="dxa" w:w="312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Négligeable (équilibre atteint)</w:t>
            </w:r>
          </w:p>
        </w:tc>
        <w:tc>
          <w:tcPr>
            <w:tcW w:type="dxa" w:w="3120"/>
            <w:tcBorders>
              <w:top w:val="single" w:color="CCCCCC" w:sz="1"/>
              <w:left w:val="single" w:color="CCCCCC" w:sz="1"/>
              <w:bottom w:val="single" w:color="CCCCCC" w:sz="1"/>
              <w:right w:val="single" w:color="CCCCCC" w:sz="1"/>
            </w:tcBorders>
            <w:shd w:fill="C6E0B4" w:val="clear"/>
            <w:tcMar>
              <w:top w:type="dxa" w:w="80"/>
              <w:left w:type="dxa" w:w="120"/>
              <w:bottom w:type="dxa" w:w="80"/>
              <w:right w:type="dxa" w:w="120"/>
            </w:tcMar>
          </w:tcPr>
          <w:p>
            <w:r>
              <w:t xml:space="preserve">Aucune action nécessaire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0.01 - 0.1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Légère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Faible (drift mineur)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Ajustement léger (γ faible)</w:t>
            </w:r>
          </w:p>
        </w:tc>
      </w:tr>
      <w:tr>
        <w:tc>
          <w:tcPr>
            <w:tcW w:type="dxa" w:w="156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0.1 - 1.0</w:t>
            </w:r>
          </w:p>
        </w:tc>
        <w:tc>
          <w:tcPr>
            <w:tcW w:type="dxa" w:w="156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Modérée</w:t>
            </w:r>
          </w:p>
        </w:tc>
        <w:tc>
          <w:tcPr>
            <w:tcW w:type="dxa" w:w="312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Moyenne (désalignement visible)</w:t>
            </w:r>
          </w:p>
        </w:tc>
        <w:tc>
          <w:tcPr>
            <w:tcW w:type="dxa" w:w="312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tcPr>
          <w:p>
            <w:r>
              <w:t xml:space="preserve">Régularisation standard (γ=0.1)</w:t>
            </w:r>
          </w:p>
        </w:tc>
      </w:tr>
      <w:tr>
        <w:tc>
          <w:tcPr>
            <w:tcW w:type="dxa" w:w="156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1.0 - 10</w:t>
            </w:r>
          </w:p>
        </w:tc>
        <w:tc>
          <w:tcPr>
            <w:tcW w:type="dxa" w:w="156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Importante</w:t>
            </w:r>
          </w:p>
        </w:tc>
        <w:tc>
          <w:tcPr>
            <w:tcW w:type="dxa" w:w="312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Forte (distributions divergentes)</w:t>
            </w:r>
          </w:p>
        </w:tc>
        <w:tc>
          <w:tcPr>
            <w:tcW w:type="dxa" w:w="3120"/>
            <w:tcBorders>
              <w:top w:val="single" w:color="CCCCCC" w:sz="1"/>
              <w:left w:val="single" w:color="CCCCCC" w:sz="1"/>
              <w:bottom w:val="single" w:color="CCCCCC" w:sz="1"/>
              <w:right w:val="single" w:color="CCCCCC" w:sz="1"/>
            </w:tcBorders>
            <w:shd w:fill="F4B084" w:val="clear"/>
            <w:tcMar>
              <w:top w:type="dxa" w:w="80"/>
              <w:left w:type="dxa" w:w="120"/>
              <w:bottom w:type="dxa" w:w="80"/>
              <w:right w:type="dxa" w:w="120"/>
            </w:tcMar>
          </w:tcPr>
          <w:p>
            <w:r>
              <w:t xml:space="preserve">Ajustement majeur (γ=0.5-1.0)</w:t>
            </w:r>
          </w:p>
        </w:tc>
      </w:tr>
      <w:tr>
        <w:tc>
          <w:tcPr>
            <w:tcW w:type="dxa" w:w="1560"/>
            <w:tcBorders>
              <w:top w:val="single" w:color="CCCCCC" w:sz="1"/>
              <w:left w:val="single" w:color="CCCCCC" w:sz="1"/>
              <w:bottom w:val="single" w:color="CCCCCC" w:sz="1"/>
              <w:right w:val="single" w:color="CCCCCC" w:sz="1"/>
            </w:tcBorders>
            <w:shd w:fill="F8CBAD" w:val="clear"/>
            <w:tcMar>
              <w:top w:type="dxa" w:w="80"/>
              <w:left w:type="dxa" w:w="120"/>
              <w:bottom w:type="dxa" w:w="80"/>
              <w:right w:type="dxa" w:w="120"/>
            </w:tcMar>
          </w:tcPr>
          <w:p>
            <w:r>
              <w:rPr>
                <w:b/>
                <w:bCs/>
              </w:rPr>
              <w:t xml:space="preserve">&gt; 10</w:t>
            </w:r>
          </w:p>
        </w:tc>
        <w:tc>
          <w:tcPr>
            <w:tcW w:type="dxa" w:w="1560"/>
            <w:tcBorders>
              <w:top w:val="single" w:color="CCCCCC" w:sz="1"/>
              <w:left w:val="single" w:color="CCCCCC" w:sz="1"/>
              <w:bottom w:val="single" w:color="CCCCCC" w:sz="1"/>
              <w:right w:val="single" w:color="CCCCCC" w:sz="1"/>
            </w:tcBorders>
            <w:shd w:fill="F8CBAD" w:val="clear"/>
            <w:tcMar>
              <w:top w:type="dxa" w:w="80"/>
              <w:left w:type="dxa" w:w="120"/>
              <w:bottom w:type="dxa" w:w="80"/>
              <w:right w:type="dxa" w:w="120"/>
            </w:tcMar>
          </w:tcPr>
          <w:p>
            <w:r>
              <w:rPr>
                <w:b/>
                <w:bCs/>
              </w:rPr>
              <w:t xml:space="preserve">Très différente</w:t>
            </w:r>
          </w:p>
        </w:tc>
        <w:tc>
          <w:tcPr>
            <w:tcW w:type="dxa" w:w="3120"/>
            <w:tcBorders>
              <w:top w:val="single" w:color="CCCCCC" w:sz="1"/>
              <w:left w:val="single" w:color="CCCCCC" w:sz="1"/>
              <w:bottom w:val="single" w:color="CCCCCC" w:sz="1"/>
              <w:right w:val="single" w:color="CCCCCC" w:sz="1"/>
            </w:tcBorders>
            <w:shd w:fill="F8CBAD" w:val="clear"/>
            <w:tcMar>
              <w:top w:type="dxa" w:w="80"/>
              <w:left w:type="dxa" w:w="120"/>
              <w:bottom w:type="dxa" w:w="80"/>
              <w:right w:type="dxa" w:w="120"/>
            </w:tcMar>
          </w:tcPr>
          <w:p>
            <w:r>
              <w:rPr>
                <w:b/>
                <w:bCs/>
              </w:rPr>
              <w:t xml:space="preserve">Extrême (mismatch critique)</w:t>
            </w:r>
          </w:p>
        </w:tc>
        <w:tc>
          <w:tcPr>
            <w:tcW w:type="dxa" w:w="3120"/>
            <w:tcBorders>
              <w:top w:val="single" w:color="CCCCCC" w:sz="1"/>
              <w:left w:val="single" w:color="CCCCCC" w:sz="1"/>
              <w:bottom w:val="single" w:color="CCCCCC" w:sz="1"/>
              <w:right w:val="single" w:color="CCCCCC" w:sz="1"/>
            </w:tcBorders>
            <w:shd w:fill="F8CBAD" w:val="clear"/>
            <w:tcMar>
              <w:top w:type="dxa" w:w="80"/>
              <w:left w:type="dxa" w:w="120"/>
              <w:bottom w:type="dxa" w:w="80"/>
              <w:right w:type="dxa" w:w="120"/>
            </w:tcMar>
          </w:tcPr>
          <w:p>
            <w:r>
              <w:rPr>
                <w:b/>
                <w:bCs/>
              </w:rPr>
              <w:t xml:space="preserve">Réarchitecture nécessaire</w:t>
            </w:r>
          </w:p>
        </w:tc>
      </w:tr>
    </w:tbl>
    <w:p>
      <w:r>
        <w:br w:type="page"/>
      </w:r>
    </w:p>
    <w:p>
      <w:pPr>
        <w:pStyle w:val="Heading3"/>
      </w:pPr>
      <w:r>
        <w:t xml:space="preserve">Exemples Concrets</w:t>
      </w:r>
    </w:p>
    <w:p>
      <w:pPr>
        <w:spacing w:after="180"/>
      </w:pPr>
      <w:r>
        <w:rPr>
          <w:b/>
          <w:bCs/>
          <w:sz w:val="24"/>
          <w:szCs w:val="24"/>
        </w:rPr>
        <w:t xml:space="preserve">Exemple 1: D_KL Élevé (Désalignement Fort)</w:t>
      </w:r>
    </w:p>
    <w:p>
      <w:pPr>
        <w:spacing w:after="120"/>
      </w:pPr>
      <w:r>
        <w:t xml:space="preserve">Distributions Gaussiennes:</w:t>
      </w:r>
    </w:p>
    <w:p>
      <w:pPr>
        <w:pStyle w:val="ListParagraph"/>
        <w:numPr>
          <w:ilvl w:val="0"/>
          <w:numId w:val="2"/>
        </w:numPr>
      </w:pPr>
      <w:r>
        <w:rPr>
          <w:b/>
          <w:bCs/>
        </w:rPr>
        <w:t xml:space="preserve">P_global: </w:t>
      </w:r>
      <w:r>
        <w:t xml:space="preserve">N(μ=0, σ²=1) - distribution centrée sur 0</w:t>
      </w:r>
    </w:p>
    <w:p>
      <w:pPr>
        <w:pStyle w:val="ListParagraph"/>
        <w:numPr>
          <w:ilvl w:val="0"/>
          <w:numId w:val="2"/>
        </w:numPr>
      </w:pPr>
      <w:r>
        <w:rPr>
          <w:b/>
          <w:bCs/>
        </w:rPr>
        <w:t xml:space="preserve">P_local: </w:t>
      </w:r>
      <w:r>
        <w:t xml:space="preserve">N(μ=5, σ²=1) - distribution décalée vers 5</w:t>
      </w:r>
    </w:p>
    <w:p>
      <w:pPr>
        <w:spacing w:before="180" w:after="180"/>
        <w:jc w:val="center"/>
      </w:pPr>
      <w:r>
        <w:rPr>
          <w:b/>
          <w:bCs/>
          <w:color w:val="C55A11"/>
          <w:sz w:val="26"/>
          <w:szCs w:val="26"/>
        </w:rPr>
        <w:t xml:space="preserve">D_KL ≈ 12.5 (TRÈS ÉLEVÉ)</w:t>
      </w:r>
    </w:p>
    <w:p>
      <w:pPr>
        <w:spacing w:after="240"/>
      </w:pPr>
      <w:r>
        <w:rPr>
          <w:b/>
          <w:bCs/>
        </w:rPr>
        <w:t xml:space="preserve">Interprétation: </w:t>
      </w:r>
      <w:r>
        <w:t xml:space="preserve">Les activations produites par la couche globale (centrées sur 0) ne correspondent pas du tout à ce que la couche locale attend (centrées sur 5). Une forte régularisation osmotique est nécessaire pour réaligner les distributions.</w:t>
      </w:r>
    </w:p>
    <w:p>
      <w:pPr>
        <w:spacing w:before="360" w:after="180"/>
      </w:pPr>
      <w:r>
        <w:rPr>
          <w:b/>
          <w:bCs/>
          <w:sz w:val="24"/>
          <w:szCs w:val="24"/>
        </w:rPr>
        <w:t xml:space="preserve">Exemple 2: D_KL Bas (Bon Alignement)</w:t>
      </w:r>
    </w:p>
    <w:p>
      <w:pPr>
        <w:spacing w:after="120"/>
      </w:pPr>
      <w:r>
        <w:t xml:space="preserve">Distributions Gaussiennes:</w:t>
      </w:r>
    </w:p>
    <w:p>
      <w:pPr>
        <w:pStyle w:val="ListParagraph"/>
        <w:numPr>
          <w:ilvl w:val="0"/>
          <w:numId w:val="2"/>
        </w:numPr>
      </w:pPr>
      <w:r>
        <w:rPr>
          <w:b/>
          <w:bCs/>
        </w:rPr>
        <w:t xml:space="preserve">P_global: </w:t>
      </w:r>
      <w:r>
        <w:t xml:space="preserve">N(μ=0, σ²=1)</w:t>
      </w:r>
    </w:p>
    <w:p>
      <w:pPr>
        <w:pStyle w:val="ListParagraph"/>
        <w:numPr>
          <w:ilvl w:val="0"/>
          <w:numId w:val="2"/>
        </w:numPr>
      </w:pPr>
      <w:r>
        <w:rPr>
          <w:b/>
          <w:bCs/>
        </w:rPr>
        <w:t xml:space="preserve">P_local: </w:t>
      </w:r>
      <w:r>
        <w:t xml:space="preserve">N(μ=0.1, σ²=1.05) - légère dérive</w:t>
      </w:r>
    </w:p>
    <w:p>
      <w:pPr>
        <w:spacing w:before="180" w:after="180"/>
        <w:jc w:val="center"/>
      </w:pPr>
      <w:r>
        <w:rPr>
          <w:b/>
          <w:bCs/>
          <w:color w:val="70AD47"/>
          <w:sz w:val="26"/>
          <w:szCs w:val="26"/>
        </w:rPr>
        <w:t xml:space="preserve">D_KL ≈ 0.006 (TRÈS BAS)</w:t>
      </w:r>
    </w:p>
    <w:p>
      <w:pPr>
        <w:spacing w:after="240"/>
      </w:pPr>
      <w:r>
        <w:rPr>
          <w:b/>
          <w:bCs/>
        </w:rPr>
        <w:t xml:space="preserve">Interprétation: </w:t>
      </w:r>
      <w:r>
        <w:t xml:space="preserve">Les distributions sont déjà presque alignées. La pression osmotique est faible, peu de correction nécessaire.</w:t>
      </w:r>
    </w:p>
    <w:p>
      <w:r>
        <w:br w:type="page"/>
      </w:r>
    </w:p>
    <w:p>
      <w:pPr>
        <w:pStyle w:val="Heading2"/>
      </w:pPr>
      <w:r>
        <w:t xml:space="preserve">1.3 Challenge: Estimation des Statistics Globales</w:t>
      </w:r>
    </w:p>
    <w:p>
      <w:pPr>
        <w:spacing w:after="240"/>
      </w:pPr>
      <w:r>
        <w:rPr>
          <w:b/>
          <w:bCs/>
          <w:i/>
          <w:iCs/>
        </w:rPr>
        <w:t xml:space="preserve">Un défi majeur de FedOsmosis est que le serveur doit connaître P(z_global) pour calculer la pression osmotique, mais le serveur n'a pas accès aux données pour générer les activations.</w:t>
      </w:r>
    </w:p>
    <w:p>
      <w:pPr>
        <w:pStyle w:val="Heading3"/>
      </w:pPr>
      <w:r>
        <w:t xml:space="preserve">Explication du Problème</w:t>
      </w:r>
    </w:p>
    <w:p>
      <w:pPr>
        <w:spacing w:after="180"/>
      </w:pPr>
      <w:r>
        <w:rPr>
          <w:b/>
          <w:bCs/>
        </w:rPr>
        <w:t xml:space="preserve">Le serveur peut facilement agréger les poids:</w:t>
      </w:r>
    </w:p>
    <w:p>
      <w:pPr>
        <w:spacing w:before="180" w:after="180"/>
        <w:jc w:val="center"/>
      </w:pPr>
      <w:r>
        <w:rPr>
          <w:rFonts w:ascii="Cambria Math" w:cs="Cambria Math" w:eastAsia="Cambria Math" w:hAnsi="Cambria Math"/>
          <w:sz w:val="26"/>
          <w:szCs w:val="26"/>
        </w:rPr>
        <w:t xml:space="preserve">W_global = (1/K) ∑ₖ W_k   ✓ Possible</w:t>
      </w:r>
    </w:p>
    <w:p>
      <w:pPr>
        <w:spacing w:after="180"/>
      </w:pPr>
      <w:r>
        <w:rPr>
          <w:b/>
          <w:bCs/>
        </w:rPr>
        <w:t xml:space="preserve">Mais pour calculer D_KL, le serveur a besoin de P(z_global):</w:t>
      </w:r>
    </w:p>
    <w:p>
      <w:pPr>
        <w:spacing w:before="180" w:after="180"/>
        <w:jc w:val="center"/>
      </w:pPr>
      <w:r>
        <w:rPr>
          <w:rFonts w:ascii="Cambria Math" w:cs="Cambria Math" w:eastAsia="Cambria Math" w:hAnsi="Cambria Math"/>
          <w:sz w:val="24"/>
          <w:szCs w:val="24"/>
        </w:rPr>
        <w:t xml:space="preserve">z = forward_pass(x; W_global)</w:t>
      </w:r>
    </w:p>
    <w:p>
      <w:pPr>
        <w:spacing w:after="240"/>
      </w:pPr>
      <w:r>
        <w:rPr>
          <w:b/>
          <w:bCs/>
          <w:color w:val="C55A11"/>
        </w:rPr>
        <w:t xml:space="preserve">Problème: </w:t>
      </w:r>
      <w:r>
        <w:t xml:space="preserve">Le serveur n'a PAS accès aux données x (privacy!). Il ne peut donc pas faire de forward pass pour générer z.</w:t>
      </w:r>
    </w:p>
    <w:p>
      <w:pPr>
        <w:pStyle w:val="Heading3"/>
      </w:pPr>
      <w:r>
        <w:t xml:space="preserve">Solution 1: Transmission de Statistics (Recommandée)</w:t>
      </w:r>
    </w:p>
    <w:p>
      <w:pPr>
        <w:spacing w:after="180"/>
      </w:pPr>
      <w:r>
        <w:t xml:space="preserve">Les clients calculent et transmettent des statistics résumées de leurs activations:</w:t>
      </w:r>
    </w:p>
    <w:p>
      <w:pPr>
        <w:pStyle w:val="ListParagraph"/>
        <w:numPr>
          <w:ilvl w:val="0"/>
          <w:numId w:val="2"/>
        </w:numPr>
      </w:pPr>
      <w:r>
        <w:rPr>
          <w:b/>
          <w:bCs/>
        </w:rPr>
        <w:t xml:space="preserve">μ (moyenne): </w:t>
      </w:r>
      <w:r>
        <w:t xml:space="preserve">𝔼[z]</w:t>
      </w:r>
    </w:p>
    <w:p>
      <w:pPr>
        <w:pStyle w:val="ListParagraph"/>
        <w:numPr>
          <w:ilvl w:val="0"/>
          <w:numId w:val="2"/>
        </w:numPr>
      </w:pPr>
      <w:r>
        <w:rPr>
          <w:b/>
          <w:bCs/>
        </w:rPr>
        <w:t xml:space="preserve">σ (écart-type): </w:t>
      </w:r>
      <w:r>
        <w:t xml:space="preserve">√Var[z]</w:t>
      </w:r>
    </w:p>
    <w:p>
      <w:pPr>
        <w:spacing w:before="360" w:after="240"/>
      </w:pPr>
      <w:r>
        <w:rPr>
          <w:b/>
          <w:bCs/>
        </w:rPr>
        <w:t xml:space="preserve">Avantage: </w:t>
      </w:r>
      <w:r>
        <w:t xml:space="preserve">Coût de communication minimal (2 vecteurs de dimension d au lieu de toute la matrice de poids).</w:t>
      </w:r>
    </w:p>
    <w:p>
      <w:pPr>
        <w:spacing w:after="180"/>
      </w:pPr>
      <w:r>
        <w:rPr>
          <w:b/>
          <w:bCs/>
        </w:rPr>
        <w:t xml:space="preserve">Exemple de coût: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Transmission</w:t>
            </w:r>
          </w:p>
        </w:tc>
        <w:tc>
          <w:tcPr>
            <w:tcW w:type="dxa" w:w="4680"/>
            <w:tcBorders>
              <w:top w:val="single" w:color="CCCCCC" w:sz="1"/>
              <w:left w:val="single" w:color="CCCCCC" w:sz="1"/>
              <w:bottom w:val="single" w:color="CCCCCC" w:sz="1"/>
              <w:right w:val="single" w:color="CCCCCC" w:sz="1"/>
            </w:tcBorders>
            <w:shd w:fill="5B9BD5" w:val="clear"/>
            <w:tcMar>
              <w:top w:type="dxa" w:w="80"/>
              <w:left w:type="dxa" w:w="120"/>
              <w:bottom w:type="dxa" w:w="80"/>
              <w:right w:type="dxa" w:w="120"/>
            </w:tcMar>
          </w:tcPr>
          <w:p>
            <w:r>
              <w:rPr>
                <w:b/>
                <w:bCs/>
                <w:color w:val="FFFFFF"/>
              </w:rPr>
              <w:t xml:space="preserve">Taille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Poids W (1000×512)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512,000 floats = 2 MB</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Statistics μ, σ (dim 512)</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1,024 floats = 4 KB (500× plus léger!)</w:t>
            </w:r>
          </w:p>
        </w:tc>
      </w:tr>
    </w:tbl>
    <w:p>
      <w:r>
        <w:br w:type="page"/>
      </w:r>
    </w:p>
    <w:p>
      <w:pPr>
        <w:pStyle w:val="Heading3"/>
      </w:pPr>
      <w:r>
        <w:t xml:space="preserve">Solution 2: Statistics Locales Uniquement</w:t>
      </w:r>
    </w:p>
    <w:p>
      <w:pPr>
        <w:spacing w:after="240"/>
      </w:pPr>
      <w:r>
        <w:t xml:space="preserve">Alternative plus privacy-preserving: chaque client maintient ses propres running statistics et se régularise localement sans partager avec le serveur.</w:t>
      </w:r>
    </w:p>
    <w:p>
      <w:pPr>
        <w:spacing w:after="180"/>
      </w:pPr>
      <w:r>
        <w:rPr>
          <w:b/>
          <w:bCs/>
        </w:rPr>
        <w:t xml:space="preserve">Avantages:</w:t>
      </w:r>
    </w:p>
    <w:p>
      <w:pPr>
        <w:pStyle w:val="ListParagraph"/>
        <w:numPr>
          <w:ilvl w:val="0"/>
          <w:numId w:val="2"/>
        </w:numPr>
      </w:pPr>
      <w:r>
        <w:t xml:space="preserve">Privacy maximale (aucune statistics partagée)</w:t>
      </w:r>
    </w:p>
    <w:p>
      <w:pPr>
        <w:pStyle w:val="ListParagraph"/>
        <w:numPr>
          <w:ilvl w:val="0"/>
          <w:numId w:val="2"/>
        </w:numPr>
      </w:pPr>
      <w:r>
        <w:t xml:space="preserve">Communication nulle pour les statistics</w:t>
      </w:r>
    </w:p>
    <w:p>
      <w:pPr>
        <w:spacing w:before="240" w:after="180"/>
      </w:pPr>
      <w:r>
        <w:rPr>
          <w:b/>
          <w:bCs/>
        </w:rPr>
        <w:t xml:space="preserve">Inconvénient:</w:t>
      </w:r>
    </w:p>
    <w:p>
      <w:pPr>
        <w:pStyle w:val="ListParagraph"/>
        <w:numPr>
          <w:ilvl w:val="0"/>
          <w:numId w:val="2"/>
        </w:numPr>
      </w:pPr>
      <w:r>
        <w:t xml:space="preserve">Approximation moins précise (compare avec statistics du round précédent, pas avec vraie distribution globale)</w:t>
      </w:r>
    </w:p>
    <w:p>
      <w:r>
        <w:br w:type="page"/>
      </w:r>
    </w:p>
    <w:p>
      <w:pPr>
        <w:pStyle w:val="Heading1"/>
      </w:pPr>
      <w:r>
        <w:t xml:space="preserve">2. FedResonance: Harmonisation Spectrale par SVD</w:t>
      </w:r>
    </w:p>
    <w:p>
      <w:pPr>
        <w:pStyle w:val="Heading2"/>
      </w:pPr>
      <w:r>
        <w:t xml:space="preserve">2.1 Concept de la Base</w:t>
      </w:r>
    </w:p>
    <w:p>
      <w:pPr>
        <w:pStyle w:val="Heading3"/>
      </w:pPr>
      <w:r>
        <w:t xml:space="preserve">Qu'est-ce qu'une Base Mathématique?</w:t>
      </w:r>
    </w:p>
    <w:p>
      <w:pPr>
        <w:spacing w:after="240"/>
      </w:pPr>
      <w:r>
        <w:rPr>
          <w:i/>
          <w:iCs/>
        </w:rPr>
        <w:t xml:space="preserve">En mathématiques, une base est un ensemble de vecteurs qui permet de représenter n'importe quel vecteur d'un espace comme une combinaison linéaire des vecteurs de base.</w:t>
      </w:r>
    </w:p>
    <w:p>
      <w:pPr>
        <w:spacing w:after="180"/>
      </w:pPr>
      <w:r>
        <w:rPr>
          <w:b/>
          <w:bCs/>
          <w:sz w:val="24"/>
          <w:szCs w:val="24"/>
        </w:rPr>
        <w:t xml:space="preserve">Analogie 2D:</w:t>
      </w:r>
    </w:p>
    <w:p>
      <w:pPr>
        <w:spacing w:after="120"/>
      </w:pPr>
      <w:r>
        <w:rPr>
          <w:b/>
          <w:bCs/>
        </w:rPr>
        <w:t xml:space="preserve">Base standard (canonique):</w:t>
      </w:r>
    </w:p>
    <w:p>
      <w:pPr>
        <w:spacing w:before="120" w:after="120"/>
        <w:jc w:val="center"/>
      </w:pPr>
      <w:r>
        <w:rPr>
          <w:rFonts w:ascii="Cambria Math" w:cs="Cambria Math" w:eastAsia="Cambria Math" w:hAnsi="Cambria Math"/>
          <w:sz w:val="24"/>
          <w:szCs w:val="24"/>
        </w:rPr>
        <w:t xml:space="preserve">e₁ = [1, 0],  e₂ = [0, 1]</w:t>
      </w:r>
    </w:p>
    <w:p>
      <w:pPr>
        <w:spacing w:after="120"/>
      </w:pPr>
      <w:r>
        <w:t xml:space="preserve">Tout vecteur v peut s'écrire:</w:t>
      </w:r>
    </w:p>
    <w:p>
      <w:pPr>
        <w:spacing w:before="120" w:after="240"/>
        <w:jc w:val="center"/>
      </w:pPr>
      <w:r>
        <w:rPr>
          <w:rFonts w:ascii="Cambria Math" w:cs="Cambria Math" w:eastAsia="Cambria Math" w:hAnsi="Cambria Math"/>
          <w:sz w:val="24"/>
          <w:szCs w:val="24"/>
        </w:rPr>
        <w:t xml:space="preserve">v = a·e₁ + b·e₂ = [a, b]</w:t>
      </w:r>
    </w:p>
    <w:p>
      <w:pPr>
        <w:spacing w:after="120"/>
      </w:pPr>
      <w:r>
        <w:rPr>
          <w:b/>
          <w:bCs/>
        </w:rPr>
        <w:t xml:space="preserve">Base alternative (ex: rotée 45°):</w:t>
      </w:r>
    </w:p>
    <w:p>
      <w:pPr>
        <w:spacing w:before="120" w:after="120"/>
        <w:jc w:val="center"/>
      </w:pPr>
      <w:r>
        <w:rPr>
          <w:rFonts w:ascii="Cambria Math" w:cs="Cambria Math" w:eastAsia="Cambria Math" w:hAnsi="Cambria Math"/>
          <w:sz w:val="24"/>
          <w:szCs w:val="24"/>
        </w:rPr>
        <w:t xml:space="preserve">u₁ = [1/√2, 1/√2],  u₂ = [-1/√2, 1/√2]</w:t>
      </w:r>
    </w:p>
    <w:p>
      <w:pPr>
        <w:spacing w:after="240"/>
      </w:pPr>
      <w:r>
        <w:t xml:space="preserve">Le MÊME vecteur v peut s'écrire dans cette nouvelle base avec des coordonnées différentes: v = c·u₁ + d·u₂</w:t>
      </w:r>
    </w:p>
    <w:p>
      <w:pPr>
        <w:pStyle w:val="Heading3"/>
      </w:pPr>
      <w:r>
        <w:t xml:space="preserve">La Base de Résonance en FedResonance</w:t>
      </w:r>
    </w:p>
    <w:p>
      <w:pPr>
        <w:spacing w:after="180"/>
      </w:pPr>
      <w:r>
        <w:rPr>
          <w:b/>
          <w:bCs/>
        </w:rPr>
        <w:t xml:space="preserve">Dans FedResonance, la 'base' désigne l'ensemble des vecteurs singuliers {U, V} obtenus par la décomposition SVD du modèle global.</w:t>
      </w:r>
    </w:p>
    <w:p>
      <w:pPr>
        <w:spacing w:after="120"/>
      </w:pPr>
      <w:r>
        <w:rPr>
          <w:b/>
          <w:bCs/>
        </w:rPr>
        <w:t xml:space="preserve">SVD du modèle global:</w:t>
      </w:r>
    </w:p>
    <w:p>
      <w:pPr>
        <w:spacing w:before="180" w:after="180"/>
        <w:jc w:val="center"/>
      </w:pPr>
      <w:r>
        <w:rPr>
          <w:rFonts w:ascii="Cambria Math" w:cs="Cambria Math" w:eastAsia="Cambria Math" w:hAnsi="Cambria Math"/>
          <w:b/>
          <w:bCs/>
          <w:sz w:val="28"/>
          <w:szCs w:val="28"/>
        </w:rPr>
        <w:t xml:space="preserve">W_global = U Σ V^T</w:t>
      </w:r>
    </w:p>
    <w:p>
      <w:pPr>
        <w:spacing w:after="120"/>
      </w:pPr>
      <w:r>
        <w:t xml:space="preserve">où:</w:t>
      </w:r>
    </w:p>
    <w:p>
      <w:pPr>
        <w:pStyle w:val="ListParagraph"/>
        <w:numPr>
          <w:ilvl w:val="0"/>
          <w:numId w:val="2"/>
        </w:numPr>
      </w:pPr>
      <w:r>
        <w:rPr>
          <w:b/>
          <w:bCs/>
        </w:rPr>
        <w:t xml:space="preserve">U ∈ ℝ^(n×r): </w:t>
      </w:r>
      <w:r>
        <w:t xml:space="preserve">Vecteurs singuliers GAUCHES - directions principales dans l'espace de sortie</w:t>
      </w:r>
    </w:p>
    <w:p>
      <w:pPr>
        <w:pStyle w:val="ListParagraph"/>
        <w:numPr>
          <w:ilvl w:val="0"/>
          <w:numId w:val="2"/>
        </w:numPr>
      </w:pPr>
      <w:r>
        <w:rPr>
          <w:b/>
          <w:bCs/>
        </w:rPr>
        <w:t xml:space="preserve">Σ ∈ ℝ^(r×r): </w:t>
      </w:r>
      <w:r>
        <w:t xml:space="preserve">Valeurs singulières (diagonale) - importance de chaque direction</w:t>
      </w:r>
    </w:p>
    <w:p>
      <w:pPr>
        <w:pStyle w:val="ListParagraph"/>
        <w:numPr>
          <w:ilvl w:val="0"/>
          <w:numId w:val="2"/>
        </w:numPr>
      </w:pPr>
      <w:r>
        <w:rPr>
          <w:b/>
          <w:bCs/>
        </w:rPr>
        <w:t xml:space="preserve">V ∈ ℝ^(m×r): </w:t>
      </w:r>
      <w:r>
        <w:t xml:space="preserve">Vecteurs singuliers DROITS - directions principales dans l'espace d'entrée</w:t>
      </w:r>
    </w:p>
    <w:p>
      <w:pPr>
        <w:spacing w:before="360" w:after="240"/>
      </w:pPr>
      <w:r>
        <w:rPr>
          <w:b/>
          <w:bCs/>
          <w:color w:val="2E75B6"/>
          <w:sz w:val="24"/>
          <w:szCs w:val="24"/>
        </w:rPr>
        <w:t xml:space="preserve">Base de résonance = {u₁, u₂, ..., uᵣ} ∪ {v₁, v₂, ..., vᵣ}</w:t>
      </w:r>
    </w:p>
    <w:p>
      <w:pPr>
        <w:spacing w:after="240"/>
      </w:pPr>
      <w:r>
        <w:t xml:space="preserve">Ces vecteurs forment un système de coordonnées optimisé qui capture les 'modes propres' ou 'fréquences de résonance' du modèle global.</w:t>
      </w:r>
    </w:p>
    <w:p>
      <w:r>
        <w:br w:type="page"/>
      </w:r>
    </w:p>
    <w:p>
      <w:pPr>
        <w:pStyle w:val="Heading2"/>
      </w:pPr>
      <w:r>
        <w:t xml:space="preserve">2.2 Mise à Jour de la Base</w:t>
      </w:r>
    </w:p>
    <w:p>
      <w:pPr>
        <w:spacing w:after="240"/>
      </w:pPr>
      <w:r>
        <w:rPr>
          <w:b/>
          <w:bCs/>
        </w:rPr>
        <w:t xml:space="preserve">La 'mise à jour de la base' signifie recalculer les vecteurs U et V via SVD lorsque le modèle global a suffisamment évolué.</w:t>
      </w:r>
    </w:p>
    <w:p>
      <w:pPr>
        <w:pStyle w:val="Heading3"/>
      </w:pPr>
      <w:r>
        <w:t xml:space="preserve">Pourquoi Mettre à Jour?</w:t>
      </w:r>
    </w:p>
    <w:p>
      <w:pPr>
        <w:spacing w:after="180"/>
      </w:pPr>
      <w:r>
        <w:t xml:space="preserve">Au cours de l'entraînement, le modèle global W évolue:</w:t>
      </w:r>
    </w:p>
    <w:p>
      <w:pPr>
        <w:spacing w:before="180" w:after="120"/>
        <w:jc w:val="center"/>
      </w:pPr>
      <w:r>
        <w:rPr>
          <w:rFonts w:ascii="Cambria Math" w:cs="Cambria Math" w:eastAsia="Cambria Math" w:hAnsi="Cambria Math"/>
          <w:sz w:val="24"/>
          <w:szCs w:val="24"/>
        </w:rPr>
        <w:t xml:space="preserve">Round 0:   W₀ = U₀ Σ₀ V₀^T</w:t>
      </w:r>
    </w:p>
    <w:p>
      <w:pPr>
        <w:spacing w:after="120"/>
        <w:jc w:val="center"/>
      </w:pPr>
      <w:r>
        <w:rPr>
          <w:rFonts w:ascii="Cambria Math" w:cs="Cambria Math" w:eastAsia="Cambria Math" w:hAnsi="Cambria Math"/>
          <w:sz w:val="24"/>
          <w:szCs w:val="24"/>
        </w:rPr>
        <w:t xml:space="preserve">Round 100: W₁₀₀ ≠ W₀</w:t>
      </w:r>
    </w:p>
    <w:p>
      <w:pPr>
        <w:spacing w:after="240"/>
      </w:pPr>
      <w:r>
        <w:t xml:space="preserve">Puisque W a changé, les 'directions principales' ont aussi changé. Il faut donc recalculer:</w:t>
      </w:r>
    </w:p>
    <w:p>
      <w:pPr>
        <w:spacing w:before="120" w:after="240"/>
        <w:jc w:val="center"/>
      </w:pPr>
      <w:r>
        <w:rPr>
          <w:rFonts w:ascii="Cambria Math" w:cs="Cambria Math" w:eastAsia="Cambria Math" w:hAnsi="Cambria Math"/>
          <w:b/>
          <w:bCs/>
          <w:color w:val="2E75B6"/>
          <w:sz w:val="26"/>
          <w:szCs w:val="26"/>
        </w:rPr>
        <w:t xml:space="preserve">W₁₀₀ = U₁₀₀ Σ₁₀₀ V₁₀₀^T</w:t>
      </w:r>
    </w:p>
    <w:p>
      <w:pPr>
        <w:pStyle w:val="Heading3"/>
      </w:pPr>
      <w:r>
        <w:t xml:space="preserve">Fréquence de Mise à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Phase Training</w:t>
            </w:r>
          </w:p>
        </w:tc>
        <w:tc>
          <w:tcPr>
            <w:tcW w:type="dxa" w:w="351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Fréquence Mise à Jour</w:t>
            </w:r>
          </w:p>
        </w:tc>
        <w:tc>
          <w:tcPr>
            <w:tcW w:type="dxa" w:w="351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b/>
                <w:bCs/>
                <w:color w:val="FFFFFF"/>
              </w:rPr>
              <w:t xml:space="preserve">Raison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Début (rounds 0-100)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Tous les 5 rounds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Modèle change rapidement → base doit suivre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Milieu (rounds 100-500)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Tous les 20 rounds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Modèle plus stable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 (rounds 500+)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Tous les 50 rounds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Modèle presque convergé, base stable</w:t>
            </w:r>
          </w:p>
        </w:tc>
      </w:tr>
    </w:tbl>
    <w:p>
      <w:r>
        <w:br w:type="page"/>
      </w:r>
    </w:p>
    <w:p>
      <w:pPr>
        <w:pStyle w:val="Heading2"/>
      </w:pPr>
      <w:r>
        <w:t xml:space="preserve">2.3 Principe de Projection Résonante</w:t>
      </w:r>
    </w:p>
    <w:p>
      <w:pPr>
        <w:spacing w:after="240"/>
      </w:pPr>
      <w:r>
        <w:t xml:space="preserve">Au lieu de transmettre le gradient complet, FedResonance filtre le gradient pour ne garder que ses composantes qui s'alignent avec la base de résonance globale.</w:t>
      </w:r>
    </w:p>
    <w:p>
      <w:pPr>
        <w:spacing w:after="120"/>
      </w:pPr>
      <w:r>
        <w:rPr>
          <w:b/>
          <w:bCs/>
        </w:rPr>
        <w:t xml:space="preserve">Formule de projection:</w:t>
      </w:r>
    </w:p>
    <w:p>
      <w:pPr>
        <w:spacing w:before="180" w:after="240"/>
        <w:jc w:val="center"/>
      </w:pPr>
      <w:r>
        <w:rPr>
          <w:rFonts w:ascii="Cambria Math" w:cs="Cambria Math" w:eastAsia="Cambria Math" w:hAnsi="Cambria Math"/>
          <w:b/>
          <w:bCs/>
          <w:color w:val="2E75B6"/>
          <w:sz w:val="28"/>
          <w:szCs w:val="28"/>
        </w:rPr>
        <w:t xml:space="preserve">ΔW_résonant = U (U^T ΔW V) V^T</w:t>
      </w:r>
    </w:p>
    <w:p>
      <w:pPr>
        <w:spacing w:after="180"/>
      </w:pPr>
      <w:r>
        <w:rPr>
          <w:b/>
          <w:bCs/>
          <w:sz w:val="24"/>
          <w:szCs w:val="24"/>
        </w:rPr>
        <w:t xml:space="preserve">Interprétation:</w:t>
      </w:r>
    </w:p>
    <w:p>
      <w:pPr>
        <w:pStyle w:val="ListParagraph"/>
        <w:numPr>
          <w:ilvl w:val="0"/>
          <w:numId w:val="3"/>
        </w:numPr>
      </w:pPr>
      <w:r>
        <w:rPr>
          <w:b/>
          <w:bCs/>
        </w:rPr>
        <w:t xml:space="preserve">U^T ΔW V: </w:t>
      </w:r>
      <w:r>
        <w:t xml:space="preserve">Projette le gradient dans la base de résonance → matrice r×r (petite!)</w:t>
      </w:r>
    </w:p>
    <w:p>
      <w:pPr>
        <w:pStyle w:val="ListParagraph"/>
        <w:numPr>
          <w:ilvl w:val="0"/>
          <w:numId w:val="3"/>
        </w:numPr>
      </w:pPr>
      <w:r>
        <w:rPr>
          <w:b/>
          <w:bCs/>
        </w:rPr>
        <w:t xml:space="preserve">U(...) V^T: </w:t>
      </w:r>
      <w:r>
        <w:t xml:space="preserve">Reprojette dans l'espace original → gradient filtré n×m</w:t>
      </w:r>
    </w:p>
    <w:p>
      <w:pPr>
        <w:spacing w:before="360" w:after="240"/>
      </w:pPr>
      <w:r>
        <w:rPr>
          <w:b/>
          <w:bCs/>
        </w:rPr>
        <w:t xml:space="preserve">Effet: </w:t>
      </w:r>
      <w:r>
        <w:t xml:space="preserve">Seules les composantes du gradient qui 'résonnent' avec les modes propres du modèle global sont conservées. Les composantes orthogonales (bruit Non-IID spécifique au client) sont supprimées.</w:t>
      </w:r>
    </w:p>
    <w:p>
      <w:pPr>
        <w:pStyle w:val="Heading3"/>
      </w:pPr>
      <w:r>
        <w:t xml:space="preserve">Avantages Théoriques</w:t>
      </w:r>
    </w:p>
    <w:p>
      <w:pPr>
        <w:pStyle w:val="ListParagraph"/>
        <w:numPr>
          <w:ilvl w:val="0"/>
          <w:numId w:val="2"/>
        </w:numPr>
      </w:pPr>
      <w:r>
        <w:rPr>
          <w:b/>
          <w:bCs/>
        </w:rPr>
        <w:t xml:space="preserve">Réduction de variance: </w:t>
      </w:r>
      <w:r>
        <w:t xml:space="preserve">Var[ΔW_résonant] ≤ (r/d) · Var[ΔW] car projection dans sous-espace de dimension r &lt; d</w:t>
      </w:r>
    </w:p>
    <w:p>
      <w:pPr>
        <w:pStyle w:val="ListParagraph"/>
        <w:numPr>
          <w:ilvl w:val="0"/>
          <w:numId w:val="2"/>
        </w:numPr>
      </w:pPr>
      <w:r>
        <w:rPr>
          <w:b/>
          <w:bCs/>
        </w:rPr>
        <w:t xml:space="preserve">Filtrage du bruit: </w:t>
      </w:r>
      <w:r>
        <w:t xml:space="preserve">Suppression automatique des composantes non-structurées</w:t>
      </w:r>
    </w:p>
    <w:p>
      <w:pPr>
        <w:pStyle w:val="ListParagraph"/>
        <w:numPr>
          <w:ilvl w:val="0"/>
          <w:numId w:val="2"/>
        </w:numPr>
      </w:pPr>
      <w:r>
        <w:rPr>
          <w:b/>
          <w:bCs/>
        </w:rPr>
        <w:t xml:space="preserve">Convergence stable: </w:t>
      </w:r>
      <w:r>
        <w:t xml:space="preserve">Gradients alignés avec la géométrie du modèle global</w:t>
      </w:r>
    </w:p>
    <w:p>
      <w:r>
        <w:br w:type="page"/>
      </w:r>
    </w:p>
    <w:p>
      <w:pPr>
        <w:pStyle w:val="Heading1"/>
      </w:pPr>
      <w:r>
        <w:t xml:space="preserve">3. Approche Hybride: FedResonance + FedOsmosis</w:t>
      </w:r>
    </w:p>
    <w:p>
      <w:pPr>
        <w:spacing w:after="240"/>
      </w:pPr>
      <w:r>
        <w:rPr>
          <w:b/>
          <w:bCs/>
          <w:i/>
          <w:iCs/>
        </w:rPr>
        <w:t xml:space="preserve">La combinaison de FedResonance et FedOsmosis offre une solution synergique où chaque méthode compense les limitations de l'autre.</w:t>
      </w:r>
    </w:p>
    <w:p>
      <w:pPr>
        <w:pStyle w:val="Heading2"/>
      </w:pPr>
      <w:r>
        <w:t xml:space="preserve">3.1 Complémentarité des Approches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rPr>
              <w:t xml:space="preserve">FedResonance</w:t>
            </w:r>
          </w:p>
        </w:tc>
        <w:tc>
          <w:tcPr>
            <w:tcW w:type="dxa" w:w="351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b/>
                <w:bCs/>
                <w:color w:val="FFFFFF"/>
              </w:rPr>
              <w:t xml:space="preserve">FedOsmosis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Agit sur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Gradients (backward pass)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Activations (forward pass)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Mécanisme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Filtrage (suppression du bruit)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Régularisation (équilibrage)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Approche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Géométrique (SVD)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Probabiliste (KL-divergence)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Après calcul gradients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Pendant forward pass</w:t>
            </w:r>
          </w:p>
        </w:tc>
      </w:tr>
      <w:tr>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Complémentarité</w:t>
            </w:r>
          </w:p>
        </w:tc>
        <w:tc>
          <w:tcPr>
            <w:tcW w:type="dxa" w:w="351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Assure que gradients propres</w:t>
            </w:r>
          </w:p>
        </w:tc>
        <w:tc>
          <w:tcPr>
            <w:tcW w:type="dxa" w:w="351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rPr>
              <w:t xml:space="preserve">Assure que distributions alignées</w:t>
            </w:r>
          </w:p>
        </w:tc>
      </w:tr>
    </w:tbl>
    <w:p>
      <w:r>
        <w:br w:type="page"/>
      </w:r>
    </w:p>
    <w:p>
      <w:pPr>
        <w:pStyle w:val="Heading2"/>
      </w:pPr>
      <w:r>
        <w:t xml:space="preserve">3.2 Algorithme Hybride</w:t>
      </w:r>
    </w:p>
    <w:p>
      <w:pPr>
        <w:spacing w:after="180"/>
      </w:pPr>
      <w:r>
        <w:rPr>
          <w:b/>
          <w:bCs/>
          <w:sz w:val="24"/>
          <w:szCs w:val="24"/>
        </w:rPr>
        <w:t xml:space="preserve">Phase 1: Projection Résonante (filtrage du bruit)</w:t>
      </w:r>
    </w:p>
    <w:p>
      <w:pPr>
        <w:spacing w:before="180" w:after="240"/>
        <w:jc w:val="center"/>
      </w:pPr>
      <w:r>
        <w:rPr>
          <w:rFonts w:ascii="Cambria Math" w:cs="Cambria Math" w:eastAsia="Cambria Math" w:hAnsi="Cambria Math"/>
          <w:sz w:val="26"/>
          <w:szCs w:val="26"/>
        </w:rPr>
        <w:t xml:space="preserve">ΔW_clean = U (U^T ΔW V) V^T</w:t>
      </w:r>
    </w:p>
    <w:p>
      <w:pPr>
        <w:spacing w:after="180"/>
      </w:pPr>
      <w:r>
        <w:rPr>
          <w:b/>
          <w:bCs/>
          <w:sz w:val="24"/>
          <w:szCs w:val="24"/>
        </w:rPr>
        <w:t xml:space="preserve">Phase 2: Régularisation Osmotique (alignment des distributions)</w:t>
      </w:r>
    </w:p>
    <w:p>
      <w:pPr>
        <w:spacing w:before="180" w:after="240"/>
        <w:jc w:val="center"/>
      </w:pPr>
      <w:r>
        <w:rPr>
          <w:rFonts w:ascii="Cambria Math" w:cs="Cambria Math" w:eastAsia="Cambria Math" w:hAnsi="Cambria Math"/>
          <w:sz w:val="26"/>
          <w:szCs w:val="26"/>
        </w:rPr>
        <w:t xml:space="preserve">L_total = L_task + γ · ∑ D_KL(P(z_global) || P(z_local))</w:t>
      </w:r>
    </w:p>
    <w:p>
      <w:pPr>
        <w:spacing w:after="180"/>
      </w:pPr>
      <w:r>
        <w:rPr>
          <w:b/>
          <w:bCs/>
        </w:rPr>
        <w:t xml:space="preserve">Mise à jour avec gradient propre et régularisé:</w:t>
      </w:r>
    </w:p>
    <w:p>
      <w:pPr>
        <w:spacing w:before="180" w:after="360"/>
        <w:jc w:val="center"/>
      </w:pPr>
      <w:r>
        <w:rPr>
          <w:rFonts w:ascii="Cambria Math" w:cs="Cambria Math" w:eastAsia="Cambria Math" w:hAnsi="Cambria Math"/>
          <w:sz w:val="26"/>
          <w:szCs w:val="26"/>
        </w:rPr>
        <w:t xml:space="preserve">W ← W - η · ΔW_clean</w:t>
      </w:r>
    </w:p>
    <w:p>
      <w:pPr>
        <w:pStyle w:val="Heading2"/>
      </w:pPr>
      <w:r>
        <w:t xml:space="preserve">3.3 Avantages de l'Approche Hybride</w:t>
      </w:r>
    </w:p>
    <w:p>
      <w:pPr>
        <w:pStyle w:val="ListParagraph"/>
        <w:numPr>
          <w:ilvl w:val="0"/>
          <w:numId w:val="3"/>
        </w:numPr>
      </w:pPr>
      <w:r>
        <w:rPr>
          <w:b/>
          <w:bCs/>
        </w:rPr>
        <w:t xml:space="preserve">Double garantie d'alignment: </w:t>
      </w:r>
      <w:r>
        <w:t xml:space="preserve">FedResonance aligne les gradients, FedOsmosis aligne les activations</w:t>
      </w:r>
    </w:p>
    <w:p>
      <w:pPr>
        <w:pStyle w:val="ListParagraph"/>
        <w:numPr>
          <w:ilvl w:val="0"/>
          <w:numId w:val="3"/>
        </w:numPr>
      </w:pPr>
      <w:r>
        <w:rPr>
          <w:b/>
          <w:bCs/>
        </w:rPr>
        <w:t xml:space="preserve">Robustesse accrue: </w:t>
      </w:r>
      <w:r>
        <w:t xml:space="preserve">Si un mécanisme échoue partiellement, l'autre compense</w:t>
      </w:r>
    </w:p>
    <w:p>
      <w:pPr>
        <w:pStyle w:val="ListParagraph"/>
        <w:numPr>
          <w:ilvl w:val="0"/>
          <w:numId w:val="3"/>
        </w:numPr>
      </w:pPr>
      <w:r>
        <w:rPr>
          <w:b/>
          <w:bCs/>
        </w:rPr>
        <w:t xml:space="preserve">Convergence plus stable: </w:t>
      </w:r>
      <w:r>
        <w:t xml:space="preserve">Filtrage + régularisation = trajectoire optimale</w:t>
      </w:r>
    </w:p>
    <w:p>
      <w:pPr>
        <w:pStyle w:val="ListParagraph"/>
        <w:numPr>
          <w:ilvl w:val="0"/>
          <w:numId w:val="3"/>
        </w:numPr>
      </w:pPr>
      <w:r>
        <w:rPr>
          <w:b/>
          <w:bCs/>
        </w:rPr>
        <w:t xml:space="preserve">Flexibility: </w:t>
      </w:r>
      <w:r>
        <w:t xml:space="preserve">Paramètres r (rang SVD) et γ (pression) offrent contrôle fin</w:t>
      </w:r>
    </w:p>
    <w:p>
      <w:r>
        <w:br w:type="page"/>
      </w:r>
    </w:p>
    <w:p>
      <w:pPr>
        <w:pStyle w:val="Heading1"/>
      </w:pPr>
      <w:r>
        <w:t xml:space="preserve">4. Recommandations et Conclusion</w:t>
      </w:r>
    </w:p>
    <w:p>
      <w:pPr>
        <w:pStyle w:val="Heading2"/>
      </w:pPr>
      <w:r>
        <w:t xml:space="preserve">4.1 Comparaison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Critère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FedOsmosis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FedResonance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Hybrid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Originalité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Overhead Compute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Potentiel Pub.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NeurIPS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AISTATS 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ICML A*</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Recommandation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Recherche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Déploiement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Les deux</w:t>
            </w:r>
          </w:p>
        </w:tc>
      </w:tr>
    </w:tbl>
    <w:p>
      <w:pPr>
        <w:spacing w:before="480" w:after="240"/>
      </w:pPr>
      <w:r>
        <w:rPr>
          <w:b/>
          <w:bCs/>
          <w:color w:val="2E75B6"/>
          <w:sz w:val="28"/>
          <w:szCs w:val="28"/>
        </w:rPr>
        <w:t xml:space="preserve">Recommandation Finale pour la Thèse:</w:t>
      </w:r>
    </w:p>
    <w:p>
      <w:pPr>
        <w:spacing w:after="120"/>
      </w:pPr>
      <w:r>
        <w:rPr>
          <w:b/>
          <w:bCs/>
        </w:rPr>
        <w:t xml:space="preserve">Année 1: </w:t>
      </w:r>
      <w:r>
        <w:t xml:space="preserve">Implémenter et publier FedOsmosis (originalité maximale, NeurIPS/ICML)</w:t>
      </w:r>
    </w:p>
    <w:p>
      <w:pPr>
        <w:spacing w:after="120"/>
      </w:pPr>
      <w:r>
        <w:rPr>
          <w:b/>
          <w:bCs/>
        </w:rPr>
        <w:t xml:space="preserve">Année 2: </w:t>
      </w:r>
      <w:r>
        <w:t xml:space="preserve">Implémenter FedResonance + Déploiement Burkina Faso/Maroc (impact pratique)</w:t>
      </w:r>
    </w:p>
    <w:p>
      <w:pPr>
        <w:spacing w:after="120"/>
      </w:pPr>
      <w:r>
        <w:rPr>
          <w:b/>
          <w:bCs/>
        </w:rPr>
        <w:t xml:space="preserve">Année 3 (optionnel): </w:t>
      </w:r>
      <w:r>
        <w:t xml:space="preserve">Approche Hybride + Validation terrain extensive (paper application)</w:t>
      </w:r>
    </w:p>
    <w:p>
      <w:pPr>
        <w:spacing w:before="480"/>
        <w:jc w:val="center"/>
      </w:pPr>
      <w:r>
        <w:rPr>
          <w:i/>
          <w:iCs/>
          <w:color w:val="7F7F7F"/>
          <w:sz w:val="22"/>
          <w:szCs w:val="22"/>
        </w:rPr>
        <w:t xml:space="preserve">— Fin du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2026-03-20T02:16:41.265Z</dcterms:created>
  <dcterms:modified xsi:type="dcterms:W3CDTF">2026-03-20T02:16:41.266Z</dcterms:modified>
</cp:coreProperties>
</file>

<file path=docProps/custom.xml><?xml version="1.0" encoding="utf-8"?>
<Properties xmlns="http://schemas.openxmlformats.org/officeDocument/2006/custom-properties" xmlns:vt="http://schemas.openxmlformats.org/officeDocument/2006/docPropsVTypes"/>
</file>