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FF911" w14:textId="77777777" w:rsidR="004E6F1A" w:rsidRDefault="004E6F1A" w:rsidP="004E6F1A">
      <w:pPr>
        <w:pStyle w:val="Heading1"/>
        <w:jc w:val="center"/>
        <w:rPr>
          <w:lang w:val="en-US"/>
        </w:rPr>
      </w:pPr>
      <w:r w:rsidRPr="0079762B">
        <w:rPr>
          <w:lang w:val="en-US"/>
        </w:rPr>
        <w:t>Appendix 3. Synthetic Catalog for Background Seismicity (during the pre-mainshock stage)</w:t>
      </w:r>
    </w:p>
    <w:p w14:paraId="0392F5D8" w14:textId="44746F24" w:rsidR="004E6F1A" w:rsidRDefault="004E6F1A" w:rsidP="004E6F1A">
      <w:pPr>
        <w:spacing w:line="276" w:lineRule="auto"/>
        <w:rPr>
          <w:lang w:val="en-US"/>
        </w:rPr>
      </w:pPr>
      <w:r w:rsidRPr="00F42237">
        <w:rPr>
          <w:lang w:val="en-US"/>
        </w:rPr>
        <w:t>To assess the mainshock's impact on earthquake distribution, the current seismicity distribution was compared to the background seismicity. However, directly using observed records prior to the mainshock could introduce bias due to sampling errors from limited time windows and spatial domains. To address this, a synthetic catalogue of 10,000 events was generated based on the spatial distribution of observed seismicity during the pre-mainshock stage to examine the spatial distribution of background seismicity. In map view, the observed background seismicity appears randomly distributed, as the events are independent. However, the depth distribution follows a specific pattern (</w:t>
      </w:r>
      <w:r>
        <w:rPr>
          <w:lang w:val="en-US"/>
        </w:rPr>
        <w:fldChar w:fldCharType="begin"/>
      </w:r>
      <w:r>
        <w:rPr>
          <w:lang w:val="en-US"/>
        </w:rPr>
        <w:instrText xml:space="preserve"> REF _Ref175648334 \h </w:instrText>
      </w:r>
      <w:r>
        <w:rPr>
          <w:lang w:val="en-US"/>
        </w:rPr>
      </w:r>
      <w:r>
        <w:rPr>
          <w:lang w:val="en-US"/>
        </w:rPr>
        <w:fldChar w:fldCharType="separate"/>
      </w:r>
      <w:r w:rsidRPr="007B7862">
        <w:t xml:space="preserve">Figure </w:t>
      </w:r>
      <w:r>
        <w:t>S</w:t>
      </w:r>
      <w:r>
        <w:rPr>
          <w:noProof/>
        </w:rPr>
        <w:t>14</w:t>
      </w:r>
      <w:r>
        <w:rPr>
          <w:lang w:val="en-US"/>
        </w:rPr>
        <w:fldChar w:fldCharType="end"/>
      </w:r>
      <w:r w:rsidR="005B1D40">
        <w:rPr>
          <w:lang w:val="en-US"/>
        </w:rPr>
        <w:t>A</w:t>
      </w:r>
      <w:r w:rsidRPr="00F42237">
        <w:rPr>
          <w:lang w:val="en-US"/>
        </w:rPr>
        <w:t xml:space="preserve">), as the depths of small-magnitude events were </w:t>
      </w:r>
      <w:proofErr w:type="spellStart"/>
      <w:r w:rsidRPr="00F42237">
        <w:rPr>
          <w:lang w:val="en-US"/>
        </w:rPr>
        <w:t>standardised</w:t>
      </w:r>
      <w:proofErr w:type="spellEnd"/>
      <w:r w:rsidRPr="00F42237">
        <w:rPr>
          <w:lang w:val="en-US"/>
        </w:rPr>
        <w:t xml:space="preserve"> (e.g., 10 km in this study) for convenience. To ensure consistency and </w:t>
      </w:r>
      <w:proofErr w:type="spellStart"/>
      <w:r w:rsidRPr="00F42237">
        <w:rPr>
          <w:lang w:val="en-US"/>
        </w:rPr>
        <w:t>minimise</w:t>
      </w:r>
      <w:proofErr w:type="spellEnd"/>
      <w:r w:rsidRPr="00F42237">
        <w:rPr>
          <w:lang w:val="en-US"/>
        </w:rPr>
        <w:t xml:space="preserve"> bias during synthesis, the depth distribution of the synthetic catalogue was based on the real catalogue's depth distribution (</w:t>
      </w:r>
      <w:r>
        <w:rPr>
          <w:lang w:val="en-US"/>
        </w:rPr>
        <w:fldChar w:fldCharType="begin"/>
      </w:r>
      <w:r>
        <w:rPr>
          <w:lang w:val="en-US"/>
        </w:rPr>
        <w:instrText xml:space="preserve"> REF _Ref175648334 \h </w:instrText>
      </w:r>
      <w:r>
        <w:rPr>
          <w:lang w:val="en-US"/>
        </w:rPr>
      </w:r>
      <w:r>
        <w:rPr>
          <w:lang w:val="en-US"/>
        </w:rPr>
        <w:fldChar w:fldCharType="separate"/>
      </w:r>
      <w:r w:rsidRPr="007B7862">
        <w:t xml:space="preserve">Figure </w:t>
      </w:r>
      <w:r>
        <w:t>S</w:t>
      </w:r>
      <w:r>
        <w:rPr>
          <w:noProof/>
        </w:rPr>
        <w:t>14</w:t>
      </w:r>
      <w:r>
        <w:rPr>
          <w:lang w:val="en-US"/>
        </w:rPr>
        <w:fldChar w:fldCharType="end"/>
      </w:r>
      <w:r w:rsidR="005B1D40">
        <w:rPr>
          <w:lang w:val="en-US"/>
        </w:rPr>
        <w:t>B</w:t>
      </w:r>
      <w:r>
        <w:rPr>
          <w:lang w:val="en-US"/>
        </w:rPr>
        <w:fldChar w:fldCharType="begin"/>
      </w:r>
      <w:r>
        <w:rPr>
          <w:lang w:val="en-US"/>
        </w:rPr>
        <w:instrText xml:space="preserve"> REF _Ref175648449 \h </w:instrText>
      </w:r>
      <w:r>
        <w:rPr>
          <w:lang w:val="en-US"/>
        </w:rPr>
      </w:r>
      <w:r>
        <w:rPr>
          <w:lang w:val="en-US"/>
        </w:rPr>
        <w:fldChar w:fldCharType="separate"/>
      </w:r>
      <w:r>
        <w:rPr>
          <w:lang w:val="en-US"/>
        </w:rPr>
        <w:fldChar w:fldCharType="end"/>
      </w:r>
      <w:r w:rsidRPr="00F42237">
        <w:rPr>
          <w:lang w:val="en-US"/>
        </w:rPr>
        <w:t xml:space="preserve">), while the </w:t>
      </w:r>
      <w:proofErr w:type="spellStart"/>
      <w:r w:rsidRPr="00F42237">
        <w:rPr>
          <w:lang w:val="en-US"/>
        </w:rPr>
        <w:t>epicentres</w:t>
      </w:r>
      <w:proofErr w:type="spellEnd"/>
      <w:r w:rsidRPr="00F42237">
        <w:rPr>
          <w:lang w:val="en-US"/>
        </w:rPr>
        <w:t xml:space="preserve"> were randomly assigned.</w:t>
      </w:r>
      <w:r>
        <w:rPr>
          <w:lang w:val="en-US"/>
        </w:rPr>
        <w:t xml:space="preserve"> </w:t>
      </w:r>
      <w:r w:rsidRPr="0051069F">
        <w:rPr>
          <w:lang w:val="en-US"/>
        </w:rPr>
        <w:t xml:space="preserve">The distance distribution figures (i.e., distance from the mainshock </w:t>
      </w:r>
      <w:proofErr w:type="spellStart"/>
      <w:r w:rsidRPr="0051069F">
        <w:rPr>
          <w:lang w:val="en-US"/>
        </w:rPr>
        <w:t>hypocentre</w:t>
      </w:r>
      <w:proofErr w:type="spellEnd"/>
      <w:r w:rsidRPr="0051069F">
        <w:rPr>
          <w:lang w:val="en-US"/>
        </w:rPr>
        <w:t xml:space="preserve">) </w:t>
      </w:r>
      <w:r w:rsidRPr="00717B89">
        <w:rPr>
          <w:lang w:val="en-US"/>
        </w:rPr>
        <w:t>(</w:t>
      </w:r>
      <w:r>
        <w:rPr>
          <w:lang w:val="en-US"/>
        </w:rPr>
        <w:fldChar w:fldCharType="begin"/>
      </w:r>
      <w:r>
        <w:rPr>
          <w:lang w:val="en-US"/>
        </w:rPr>
        <w:instrText xml:space="preserve"> REF _Ref175648449 \h </w:instrText>
      </w:r>
      <w:r>
        <w:rPr>
          <w:lang w:val="en-US"/>
        </w:rPr>
      </w:r>
      <w:r>
        <w:rPr>
          <w:lang w:val="en-US"/>
        </w:rPr>
        <w:fldChar w:fldCharType="separate"/>
      </w:r>
      <w:r w:rsidRPr="007B7862">
        <w:t xml:space="preserve">Figure </w:t>
      </w:r>
      <w:r>
        <w:t>S</w:t>
      </w:r>
      <w:r>
        <w:rPr>
          <w:noProof/>
        </w:rPr>
        <w:t>15</w:t>
      </w:r>
      <w:r>
        <w:rPr>
          <w:lang w:val="en-US"/>
        </w:rPr>
        <w:fldChar w:fldCharType="end"/>
      </w:r>
      <w:r w:rsidRPr="00717B89">
        <w:rPr>
          <w:lang w:val="en-US"/>
        </w:rPr>
        <w:t xml:space="preserve">) </w:t>
      </w:r>
      <w:r w:rsidRPr="0051069F">
        <w:rPr>
          <w:lang w:val="en-US"/>
        </w:rPr>
        <w:t>show that the synthetic catalogue's frequency-distance distribution is more linear than that of the observed catalogue, which helps mitigate the uncertainty introduced by dataset insufficiency.</w:t>
      </w:r>
    </w:p>
    <w:p w14:paraId="37EE0BD4" w14:textId="653BC932" w:rsidR="004E6F1A" w:rsidRPr="007B7862" w:rsidRDefault="00522453" w:rsidP="004E6F1A">
      <w:pPr>
        <w:keepNext/>
        <w:spacing w:line="276" w:lineRule="auto"/>
        <w:jc w:val="center"/>
      </w:pPr>
      <w:r w:rsidRPr="00522453">
        <w:drawing>
          <wp:inline distT="0" distB="0" distL="0" distR="0" wp14:anchorId="41A2828B" wp14:editId="1AF2BD78">
            <wp:extent cx="3950135" cy="3349256"/>
            <wp:effectExtent l="0" t="0" r="3810" b="2540"/>
            <wp:docPr id="85009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6230" name=""/>
                    <pic:cNvPicPr/>
                  </pic:nvPicPr>
                  <pic:blipFill>
                    <a:blip r:embed="rId6"/>
                    <a:stretch>
                      <a:fillRect/>
                    </a:stretch>
                  </pic:blipFill>
                  <pic:spPr>
                    <a:xfrm>
                      <a:off x="0" y="0"/>
                      <a:ext cx="3950135" cy="3349256"/>
                    </a:xfrm>
                    <a:prstGeom prst="rect">
                      <a:avLst/>
                    </a:prstGeom>
                  </pic:spPr>
                </pic:pic>
              </a:graphicData>
            </a:graphic>
          </wp:inline>
        </w:drawing>
      </w:r>
    </w:p>
    <w:p w14:paraId="742ACB44" w14:textId="06EB2071" w:rsidR="004E6F1A" w:rsidRPr="007B7862" w:rsidRDefault="004E6F1A" w:rsidP="005249B9">
      <w:pPr>
        <w:pStyle w:val="Caption"/>
        <w:spacing w:line="276" w:lineRule="auto"/>
        <w:jc w:val="center"/>
      </w:pPr>
      <w:bookmarkStart w:id="0" w:name="_Ref175648334"/>
      <w:r w:rsidRPr="007B7862">
        <w:t xml:space="preserve">Figure </w:t>
      </w:r>
      <w:r>
        <w:t>S</w:t>
      </w:r>
      <w:r>
        <w:fldChar w:fldCharType="begin"/>
      </w:r>
      <w:r>
        <w:instrText xml:space="preserve"> SEQ Figure \* ARABIC </w:instrText>
      </w:r>
      <w:r>
        <w:fldChar w:fldCharType="separate"/>
      </w:r>
      <w:r>
        <w:rPr>
          <w:noProof/>
        </w:rPr>
        <w:t>14</w:t>
      </w:r>
      <w:r>
        <w:rPr>
          <w:noProof/>
        </w:rPr>
        <w:fldChar w:fldCharType="end"/>
      </w:r>
      <w:bookmarkEnd w:id="0"/>
      <w:r w:rsidRPr="007B7862">
        <w:t xml:space="preserve">. </w:t>
      </w:r>
      <w:r w:rsidR="00014894" w:rsidRPr="00014894">
        <w:t>The depth distribution of observed and synthetic seismic records. Figure A presents the relationship between depth distribution and corresponding frequency for the observed background seismicity during the pre-mainshock stage. Figure B displays the probability density distribution of the observed and its synthetic seismicity.</w:t>
      </w:r>
      <w:r w:rsidR="0026181D" w:rsidRPr="0026181D">
        <w:rPr>
          <w:noProof/>
        </w:rPr>
        <w:t xml:space="preserve"> </w:t>
      </w:r>
    </w:p>
    <w:p w14:paraId="3E9A98D2" w14:textId="5DC0261C" w:rsidR="00290410" w:rsidRDefault="00290410" w:rsidP="004E6F1A">
      <w:pPr>
        <w:pStyle w:val="Caption"/>
        <w:spacing w:line="276" w:lineRule="auto"/>
        <w:jc w:val="center"/>
      </w:pPr>
      <w:bookmarkStart w:id="1" w:name="_Ref175648449"/>
      <w:r w:rsidRPr="00290410">
        <w:lastRenderedPageBreak/>
        <w:drawing>
          <wp:inline distT="0" distB="0" distL="0" distR="0" wp14:anchorId="2F82EC38" wp14:editId="1BB58033">
            <wp:extent cx="5731510" cy="4739005"/>
            <wp:effectExtent l="0" t="0" r="0" b="0"/>
            <wp:docPr id="51593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30279" name=""/>
                    <pic:cNvPicPr/>
                  </pic:nvPicPr>
                  <pic:blipFill>
                    <a:blip r:embed="rId7"/>
                    <a:stretch>
                      <a:fillRect/>
                    </a:stretch>
                  </pic:blipFill>
                  <pic:spPr>
                    <a:xfrm>
                      <a:off x="0" y="0"/>
                      <a:ext cx="5731510" cy="4739005"/>
                    </a:xfrm>
                    <a:prstGeom prst="rect">
                      <a:avLst/>
                    </a:prstGeom>
                  </pic:spPr>
                </pic:pic>
              </a:graphicData>
            </a:graphic>
          </wp:inline>
        </w:drawing>
      </w:r>
    </w:p>
    <w:p w14:paraId="3281A94C" w14:textId="77777777" w:rsidR="00DA60A7" w:rsidRDefault="004E6F1A" w:rsidP="004E6F1A">
      <w:pPr>
        <w:pStyle w:val="Caption"/>
        <w:spacing w:line="276" w:lineRule="auto"/>
        <w:jc w:val="center"/>
      </w:pPr>
      <w:r w:rsidRPr="007B7862">
        <w:t xml:space="preserve">Figure </w:t>
      </w:r>
      <w:r>
        <w:t>S</w:t>
      </w:r>
      <w:r>
        <w:fldChar w:fldCharType="begin"/>
      </w:r>
      <w:r>
        <w:instrText xml:space="preserve"> SEQ Figure \* ARABIC </w:instrText>
      </w:r>
      <w:r>
        <w:fldChar w:fldCharType="separate"/>
      </w:r>
      <w:r>
        <w:rPr>
          <w:noProof/>
        </w:rPr>
        <w:t>15</w:t>
      </w:r>
      <w:r>
        <w:rPr>
          <w:noProof/>
        </w:rPr>
        <w:fldChar w:fldCharType="end"/>
      </w:r>
      <w:bookmarkEnd w:id="1"/>
      <w:r w:rsidRPr="007B7862">
        <w:t xml:space="preserve">. </w:t>
      </w:r>
      <w:r w:rsidR="001232C0" w:rsidRPr="001232C0">
        <w:t xml:space="preserve">The distance distribution (i.e., from each earthquake's </w:t>
      </w:r>
      <w:proofErr w:type="spellStart"/>
      <w:r w:rsidR="001232C0" w:rsidRPr="001232C0">
        <w:t>hypocenter</w:t>
      </w:r>
      <w:proofErr w:type="spellEnd"/>
      <w:r w:rsidR="001232C0" w:rsidRPr="001232C0">
        <w:t xml:space="preserve"> to the mainshock's </w:t>
      </w:r>
      <w:proofErr w:type="spellStart"/>
      <w:r w:rsidR="001232C0" w:rsidRPr="001232C0">
        <w:t>hypocenter</w:t>
      </w:r>
      <w:proofErr w:type="spellEnd"/>
      <w:r w:rsidR="001232C0" w:rsidRPr="001232C0">
        <w:t xml:space="preserve">) for the observed and synthetic </w:t>
      </w:r>
      <w:proofErr w:type="spellStart"/>
      <w:r w:rsidR="001232C0" w:rsidRPr="001232C0">
        <w:t>catalogs</w:t>
      </w:r>
      <w:proofErr w:type="spellEnd"/>
      <w:r w:rsidR="001232C0" w:rsidRPr="001232C0">
        <w:t>. Figure A shows the distance distribution for observed background seismicity during the pre-mainshock stage. Figure B presents the distance probability density distribution for both observed and synthetic seismicity. Figures C and D illustrate the distance-frequency relationship for observed background seismicity and synthetic seismicity, respectively.</w:t>
      </w:r>
    </w:p>
    <w:p w14:paraId="219F5A14" w14:textId="77777777" w:rsidR="004E6F1A" w:rsidRDefault="004E6F1A"/>
    <w:sectPr w:rsidR="004E6F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02BE6" w14:textId="77777777" w:rsidR="002E7D45" w:rsidRDefault="002E7D45" w:rsidP="00014894">
      <w:pPr>
        <w:spacing w:after="0" w:line="240" w:lineRule="auto"/>
      </w:pPr>
      <w:r>
        <w:separator/>
      </w:r>
    </w:p>
  </w:endnote>
  <w:endnote w:type="continuationSeparator" w:id="0">
    <w:p w14:paraId="3320086E" w14:textId="77777777" w:rsidR="002E7D45" w:rsidRDefault="002E7D45" w:rsidP="0001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692DB" w14:textId="77777777" w:rsidR="002E7D45" w:rsidRDefault="002E7D45" w:rsidP="00014894">
      <w:pPr>
        <w:spacing w:after="0" w:line="240" w:lineRule="auto"/>
      </w:pPr>
      <w:r>
        <w:separator/>
      </w:r>
    </w:p>
  </w:footnote>
  <w:footnote w:type="continuationSeparator" w:id="0">
    <w:p w14:paraId="4099B430" w14:textId="77777777" w:rsidR="002E7D45" w:rsidRDefault="002E7D45" w:rsidP="000148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1A"/>
    <w:rsid w:val="00014894"/>
    <w:rsid w:val="00081B38"/>
    <w:rsid w:val="001232C0"/>
    <w:rsid w:val="0020533E"/>
    <w:rsid w:val="0026181D"/>
    <w:rsid w:val="00290410"/>
    <w:rsid w:val="002E7D45"/>
    <w:rsid w:val="004E6F1A"/>
    <w:rsid w:val="004F744A"/>
    <w:rsid w:val="00522453"/>
    <w:rsid w:val="005249B9"/>
    <w:rsid w:val="005A7F59"/>
    <w:rsid w:val="005B1D40"/>
    <w:rsid w:val="007F7538"/>
    <w:rsid w:val="00A00B45"/>
    <w:rsid w:val="00BE2FC4"/>
    <w:rsid w:val="00DA60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CE4946"/>
  <w15:chartTrackingRefBased/>
  <w15:docId w15:val="{01125676-4932-DC49-A2FB-32EA1102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1A"/>
  </w:style>
  <w:style w:type="paragraph" w:styleId="Heading1">
    <w:name w:val="heading 1"/>
    <w:basedOn w:val="Normal"/>
    <w:next w:val="Normal"/>
    <w:link w:val="Heading1Char"/>
    <w:uiPriority w:val="9"/>
    <w:qFormat/>
    <w:rsid w:val="004E6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F1A"/>
    <w:rPr>
      <w:rFonts w:eastAsiaTheme="majorEastAsia" w:cstheme="majorBidi"/>
      <w:color w:val="272727" w:themeColor="text1" w:themeTint="D8"/>
    </w:rPr>
  </w:style>
  <w:style w:type="paragraph" w:styleId="Title">
    <w:name w:val="Title"/>
    <w:basedOn w:val="Normal"/>
    <w:next w:val="Normal"/>
    <w:link w:val="TitleChar"/>
    <w:uiPriority w:val="10"/>
    <w:qFormat/>
    <w:rsid w:val="004E6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F1A"/>
    <w:pPr>
      <w:spacing w:before="160"/>
      <w:jc w:val="center"/>
    </w:pPr>
    <w:rPr>
      <w:i/>
      <w:iCs/>
      <w:color w:val="404040" w:themeColor="text1" w:themeTint="BF"/>
    </w:rPr>
  </w:style>
  <w:style w:type="character" w:customStyle="1" w:styleId="QuoteChar">
    <w:name w:val="Quote Char"/>
    <w:basedOn w:val="DefaultParagraphFont"/>
    <w:link w:val="Quote"/>
    <w:uiPriority w:val="29"/>
    <w:rsid w:val="004E6F1A"/>
    <w:rPr>
      <w:i/>
      <w:iCs/>
      <w:color w:val="404040" w:themeColor="text1" w:themeTint="BF"/>
    </w:rPr>
  </w:style>
  <w:style w:type="paragraph" w:styleId="ListParagraph">
    <w:name w:val="List Paragraph"/>
    <w:basedOn w:val="Normal"/>
    <w:uiPriority w:val="34"/>
    <w:qFormat/>
    <w:rsid w:val="004E6F1A"/>
    <w:pPr>
      <w:ind w:left="720"/>
      <w:contextualSpacing/>
    </w:pPr>
  </w:style>
  <w:style w:type="character" w:styleId="IntenseEmphasis">
    <w:name w:val="Intense Emphasis"/>
    <w:basedOn w:val="DefaultParagraphFont"/>
    <w:uiPriority w:val="21"/>
    <w:qFormat/>
    <w:rsid w:val="004E6F1A"/>
    <w:rPr>
      <w:i/>
      <w:iCs/>
      <w:color w:val="0F4761" w:themeColor="accent1" w:themeShade="BF"/>
    </w:rPr>
  </w:style>
  <w:style w:type="paragraph" w:styleId="IntenseQuote">
    <w:name w:val="Intense Quote"/>
    <w:basedOn w:val="Normal"/>
    <w:next w:val="Normal"/>
    <w:link w:val="IntenseQuoteChar"/>
    <w:uiPriority w:val="30"/>
    <w:qFormat/>
    <w:rsid w:val="004E6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F1A"/>
    <w:rPr>
      <w:i/>
      <w:iCs/>
      <w:color w:val="0F4761" w:themeColor="accent1" w:themeShade="BF"/>
    </w:rPr>
  </w:style>
  <w:style w:type="character" w:styleId="IntenseReference">
    <w:name w:val="Intense Reference"/>
    <w:basedOn w:val="DefaultParagraphFont"/>
    <w:uiPriority w:val="32"/>
    <w:qFormat/>
    <w:rsid w:val="004E6F1A"/>
    <w:rPr>
      <w:b/>
      <w:bCs/>
      <w:smallCaps/>
      <w:color w:val="0F4761" w:themeColor="accent1" w:themeShade="BF"/>
      <w:spacing w:val="5"/>
    </w:rPr>
  </w:style>
  <w:style w:type="paragraph" w:styleId="Caption">
    <w:name w:val="caption"/>
    <w:basedOn w:val="Normal"/>
    <w:next w:val="Normal"/>
    <w:uiPriority w:val="35"/>
    <w:unhideWhenUsed/>
    <w:qFormat/>
    <w:rsid w:val="004E6F1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14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894"/>
  </w:style>
  <w:style w:type="paragraph" w:styleId="Footer">
    <w:name w:val="footer"/>
    <w:basedOn w:val="Normal"/>
    <w:link w:val="FooterChar"/>
    <w:uiPriority w:val="99"/>
    <w:unhideWhenUsed/>
    <w:rsid w:val="00014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Yunqi Huang</dc:creator>
  <cp:keywords/>
  <dc:description/>
  <cp:lastModifiedBy>Yunqi Huang</cp:lastModifiedBy>
  <cp:revision>15</cp:revision>
  <dcterms:created xsi:type="dcterms:W3CDTF">2024-09-18T05:31:00Z</dcterms:created>
  <dcterms:modified xsi:type="dcterms:W3CDTF">2024-09-18T05:58:00Z</dcterms:modified>
</cp:coreProperties>
</file>