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7459" w14:textId="4E19D7C3" w:rsidR="006960B5" w:rsidRPr="0074681D" w:rsidRDefault="0074681D" w:rsidP="008258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681D">
        <w:rPr>
          <w:rFonts w:ascii="Times New Roman" w:eastAsia="Times New Roman" w:hAnsi="Times New Roman" w:cs="Times New Roman" w:hint="eastAsia"/>
          <w:sz w:val="28"/>
          <w:szCs w:val="28"/>
        </w:rPr>
        <w:t>V</w:t>
      </w:r>
      <w:r w:rsidR="006960B5" w:rsidRPr="0074681D">
        <w:rPr>
          <w:rFonts w:ascii="Times New Roman" w:eastAsia="Times New Roman" w:hAnsi="Times New Roman" w:cs="Times New Roman"/>
          <w:sz w:val="28"/>
          <w:szCs w:val="28"/>
        </w:rPr>
        <w:t>alidation pre</w:t>
      </w:r>
      <w:r w:rsidR="0081120F">
        <w:rPr>
          <w:rFonts w:ascii="Times New Roman" w:hAnsi="Times New Roman" w:cs="Times New Roman" w:hint="eastAsia"/>
          <w:sz w:val="28"/>
          <w:szCs w:val="28"/>
        </w:rPr>
        <w:t>-</w:t>
      </w:r>
      <w:r w:rsidR="006960B5" w:rsidRPr="0074681D">
        <w:rPr>
          <w:rFonts w:ascii="Times New Roman" w:eastAsia="Times New Roman" w:hAnsi="Times New Roman" w:cs="Times New Roman"/>
          <w:sz w:val="28"/>
          <w:szCs w:val="28"/>
        </w:rPr>
        <w:t>tests of experimental stimuli</w:t>
      </w:r>
    </w:p>
    <w:p w14:paraId="56AB6AD0" w14:textId="3E59D04D" w:rsidR="00AE4D31" w:rsidRDefault="00970D47" w:rsidP="0082588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 new group of</w:t>
      </w:r>
      <w:r w:rsidR="0074681D">
        <w:rPr>
          <w:rFonts w:ascii="Times New Roman" w:hAnsi="Times New Roman" w:cs="Times New Roman" w:hint="eastAsia"/>
        </w:rPr>
        <w:t xml:space="preserve"> judges were recruited to rate </w:t>
      </w:r>
      <w:commentRangeStart w:id="0"/>
      <w:r w:rsidR="00AD64DF" w:rsidRPr="0074681D">
        <w:rPr>
          <w:rFonts w:ascii="Times New Roman" w:eastAsia="Times New Roman" w:hAnsi="Times New Roman" w:cs="Times New Roman"/>
        </w:rPr>
        <w:t xml:space="preserve">the gender association of </w:t>
      </w:r>
      <w:r w:rsidR="00383918">
        <w:rPr>
          <w:rFonts w:ascii="Times New Roman" w:hAnsi="Times New Roman" w:cs="Times New Roman" w:hint="eastAsia"/>
        </w:rPr>
        <w:t xml:space="preserve">sentence prompts and </w:t>
      </w:r>
      <w:r w:rsidR="00AD64DF" w:rsidRPr="0074681D">
        <w:rPr>
          <w:rFonts w:ascii="Times New Roman" w:eastAsia="Times New Roman" w:hAnsi="Times New Roman" w:cs="Times New Roman"/>
        </w:rPr>
        <w:t xml:space="preserve">target words. For Experiment 1, target words in sexuality-related sentences were rated on a 5-point scale (1 = strongly associated with males; 5 = strongly associated with females) by eight judges (4 female, 4 male; mean age = </w:t>
      </w:r>
      <w:r w:rsidR="00AD64DF" w:rsidRPr="0074681D">
        <w:rPr>
          <w:rFonts w:ascii="Times New Roman" w:hAnsi="Times New Roman" w:cs="Times New Roman"/>
        </w:rPr>
        <w:t xml:space="preserve">22.00 </w:t>
      </w:r>
      <w:r w:rsidR="00AD64DF" w:rsidRPr="0074681D">
        <w:rPr>
          <w:rFonts w:ascii="Times New Roman" w:eastAsia="Times New Roman" w:hAnsi="Times New Roman" w:cs="Times New Roman"/>
        </w:rPr>
        <w:t>±</w:t>
      </w:r>
      <w:r w:rsidR="00AD64DF" w:rsidRPr="0074681D">
        <w:rPr>
          <w:rFonts w:ascii="Times New Roman" w:hAnsi="Times New Roman" w:cs="Times New Roman"/>
        </w:rPr>
        <w:t xml:space="preserve"> 0.50</w:t>
      </w:r>
      <w:r w:rsidR="00AD64DF" w:rsidRPr="0074681D">
        <w:rPr>
          <w:rFonts w:ascii="Times New Roman" w:eastAsia="Times New Roman" w:hAnsi="Times New Roman" w:cs="Times New Roman"/>
        </w:rPr>
        <w:t xml:space="preserve">). Targets denoting female partners were rated as strongly female-associated (M = 4.87 ± 0.20), while the converse was true for male partner targets (M = 1.21 ± 0.25, </w:t>
      </w:r>
      <w:r w:rsidR="00AD64DF" w:rsidRPr="0074681D">
        <w:rPr>
          <w:rFonts w:ascii="Times New Roman" w:eastAsia="Times New Roman" w:hAnsi="Times New Roman" w:cs="Times New Roman"/>
          <w:i/>
          <w:iCs/>
        </w:rPr>
        <w:t>t</w:t>
      </w:r>
      <w:r w:rsidR="00AD64DF" w:rsidRPr="0074681D">
        <w:rPr>
          <w:rFonts w:ascii="Times New Roman" w:eastAsia="Times New Roman" w:hAnsi="Times New Roman" w:cs="Times New Roman"/>
        </w:rPr>
        <w:t xml:space="preserve">(158) = −49.05, </w:t>
      </w:r>
      <w:r w:rsidR="00AD64DF" w:rsidRPr="0074681D">
        <w:rPr>
          <w:rFonts w:ascii="Times New Roman" w:eastAsia="Times New Roman" w:hAnsi="Times New Roman" w:cs="Times New Roman"/>
          <w:i/>
          <w:iCs/>
        </w:rPr>
        <w:t>p</w:t>
      </w:r>
      <w:r w:rsidR="00AD64DF" w:rsidRPr="0074681D">
        <w:rPr>
          <w:rFonts w:ascii="Times New Roman" w:eastAsia="Times New Roman" w:hAnsi="Times New Roman" w:cs="Times New Roman"/>
        </w:rPr>
        <w:t xml:space="preserve"> &lt; </w:t>
      </w:r>
      <w:r w:rsidR="00AD64DF" w:rsidRPr="0074681D">
        <w:rPr>
          <w:rFonts w:ascii="Times New Roman" w:hAnsi="Times New Roman" w:cs="Times New Roman"/>
        </w:rPr>
        <w:t>0</w:t>
      </w:r>
      <w:r w:rsidR="00AD64DF" w:rsidRPr="0074681D">
        <w:rPr>
          <w:rFonts w:ascii="Times New Roman" w:eastAsia="Times New Roman" w:hAnsi="Times New Roman" w:cs="Times New Roman"/>
        </w:rPr>
        <w:t>.001</w:t>
      </w:r>
      <w:r w:rsidR="00AD64DF" w:rsidRPr="0074681D">
        <w:rPr>
          <w:rFonts w:ascii="Times New Roman" w:hAnsi="Times New Roman" w:cs="Times New Roman"/>
        </w:rPr>
        <w:t>)</w:t>
      </w:r>
      <w:r w:rsidR="00AD64DF" w:rsidRPr="0074681D">
        <w:rPr>
          <w:rFonts w:ascii="Times New Roman" w:eastAsia="Times New Roman" w:hAnsi="Times New Roman" w:cs="Times New Roman"/>
        </w:rPr>
        <w:t>. The same judges confirmed that the sentence contexts (excluding the target words) were gender-neutral, yielding intermediate ratings (range 2.5</w:t>
      </w:r>
      <w:r w:rsidR="00AD64DF" w:rsidRPr="0074681D">
        <w:rPr>
          <w:rFonts w:ascii="Times New Roman" w:hAnsi="Times New Roman" w:cs="Times New Roman"/>
        </w:rPr>
        <w:t xml:space="preserve"> </w:t>
      </w:r>
      <w:r w:rsidR="00AD64DF" w:rsidRPr="0074681D">
        <w:rPr>
          <w:rFonts w:ascii="Times New Roman" w:eastAsia="Times New Roman" w:hAnsi="Times New Roman" w:cs="Times New Roman"/>
        </w:rPr>
        <w:t>–</w:t>
      </w:r>
      <w:r w:rsidR="00AD64DF" w:rsidRPr="0074681D">
        <w:rPr>
          <w:rFonts w:ascii="Times New Roman" w:hAnsi="Times New Roman" w:cs="Times New Roman"/>
        </w:rPr>
        <w:t xml:space="preserve"> </w:t>
      </w:r>
      <w:r w:rsidR="00AD64DF" w:rsidRPr="0074681D">
        <w:rPr>
          <w:rFonts w:ascii="Times New Roman" w:eastAsia="Times New Roman" w:hAnsi="Times New Roman" w:cs="Times New Roman"/>
        </w:rPr>
        <w:t>3.5; M = 2.98 ± 0.25). For the sentences testing semantic congruency, a separate group of eight judges (4 female, 4 male; mean age =</w:t>
      </w:r>
      <w:r w:rsidR="00AD64DF" w:rsidRPr="0074681D">
        <w:rPr>
          <w:rFonts w:ascii="Times New Roman" w:hAnsi="Times New Roman" w:cs="Times New Roman"/>
        </w:rPr>
        <w:t xml:space="preserve"> 22.50 </w:t>
      </w:r>
      <w:r w:rsidR="00AD64DF" w:rsidRPr="0074681D">
        <w:rPr>
          <w:rFonts w:ascii="Times New Roman" w:eastAsia="Times New Roman" w:hAnsi="Times New Roman" w:cs="Times New Roman"/>
        </w:rPr>
        <w:t>±</w:t>
      </w:r>
      <w:r w:rsidR="00AD64DF" w:rsidRPr="0074681D">
        <w:rPr>
          <w:rFonts w:ascii="Times New Roman" w:hAnsi="Times New Roman" w:cs="Times New Roman"/>
        </w:rPr>
        <w:t xml:space="preserve"> 1.12</w:t>
      </w:r>
      <w:r w:rsidR="00AD64DF" w:rsidRPr="0074681D">
        <w:rPr>
          <w:rFonts w:ascii="Times New Roman" w:eastAsia="Times New Roman" w:hAnsi="Times New Roman" w:cs="Times New Roman"/>
        </w:rPr>
        <w:t xml:space="preserve">) rated the semantic congruency of the sentences on a 4-point scale (1 = semantic anomaly, making no sense; 4 = highly plausible). Target words in designated plausible contexts indeed received much higher ratings (M = 3.92 ± 0.09) than those in implausible contexts (M = 1.03 ± 0.07, </w:t>
      </w:r>
      <w:r w:rsidR="00AD64DF" w:rsidRPr="0074681D">
        <w:rPr>
          <w:rFonts w:ascii="Times New Roman" w:eastAsia="Times New Roman" w:hAnsi="Times New Roman" w:cs="Times New Roman"/>
          <w:i/>
          <w:iCs/>
        </w:rPr>
        <w:t>t</w:t>
      </w:r>
      <w:r w:rsidR="00AD64DF" w:rsidRPr="0074681D">
        <w:rPr>
          <w:rFonts w:ascii="Times New Roman" w:eastAsia="Times New Roman" w:hAnsi="Times New Roman" w:cs="Times New Roman"/>
        </w:rPr>
        <w:t xml:space="preserve">(78) = 160.76, </w:t>
      </w:r>
      <w:r w:rsidR="00AD64DF" w:rsidRPr="0074681D">
        <w:rPr>
          <w:rFonts w:ascii="Times New Roman" w:eastAsia="Times New Roman" w:hAnsi="Times New Roman" w:cs="Times New Roman"/>
          <w:i/>
          <w:iCs/>
        </w:rPr>
        <w:t>p</w:t>
      </w:r>
      <w:r w:rsidR="00AD64DF" w:rsidRPr="0074681D">
        <w:rPr>
          <w:rFonts w:ascii="Times New Roman" w:eastAsia="Times New Roman" w:hAnsi="Times New Roman" w:cs="Times New Roman"/>
        </w:rPr>
        <w:t xml:space="preserve"> &lt; </w:t>
      </w:r>
      <w:r w:rsidR="00AD64DF" w:rsidRPr="0074681D">
        <w:rPr>
          <w:rFonts w:ascii="Times New Roman" w:hAnsi="Times New Roman" w:cs="Times New Roman"/>
        </w:rPr>
        <w:t>0</w:t>
      </w:r>
      <w:r w:rsidR="00AD64DF" w:rsidRPr="0074681D">
        <w:rPr>
          <w:rFonts w:ascii="Times New Roman" w:eastAsia="Times New Roman" w:hAnsi="Times New Roman" w:cs="Times New Roman"/>
        </w:rPr>
        <w:t>.001</w:t>
      </w:r>
      <w:r w:rsidR="00AD64DF" w:rsidRPr="0074681D">
        <w:rPr>
          <w:rFonts w:ascii="Times New Roman" w:hAnsi="Times New Roman" w:cs="Times New Roman"/>
        </w:rPr>
        <w:t>)</w:t>
      </w:r>
      <w:r w:rsidR="00AD64DF" w:rsidRPr="0074681D">
        <w:rPr>
          <w:rFonts w:ascii="Times New Roman" w:eastAsia="Times New Roman" w:hAnsi="Times New Roman" w:cs="Times New Roman"/>
        </w:rPr>
        <w:t xml:space="preserve">. </w:t>
      </w:r>
    </w:p>
    <w:p w14:paraId="7B118CDF" w14:textId="1791FD34" w:rsidR="006960B5" w:rsidRPr="0074681D" w:rsidRDefault="00AD64DF" w:rsidP="00825887">
      <w:pPr>
        <w:spacing w:line="480" w:lineRule="auto"/>
        <w:jc w:val="both"/>
      </w:pPr>
      <w:r w:rsidRPr="0074681D">
        <w:rPr>
          <w:rFonts w:ascii="Times New Roman" w:eastAsia="Times New Roman" w:hAnsi="Times New Roman" w:cs="Times New Roman"/>
        </w:rPr>
        <w:t xml:space="preserve">For Experiment 2, target words in critical sentences were rated in terms of gender association (with females or males) on a 5-point scale (1 = not related; 5 = strongly related) by a separate group of judges (4 female, 4 male; mean age = </w:t>
      </w:r>
      <w:r w:rsidRPr="0074681D">
        <w:rPr>
          <w:rFonts w:ascii="Times New Roman" w:hAnsi="Times New Roman" w:cs="Times New Roman"/>
        </w:rPr>
        <w:t>20.88y ± 0.64</w:t>
      </w:r>
      <w:r w:rsidRPr="0074681D">
        <w:rPr>
          <w:rFonts w:ascii="Times New Roman" w:eastAsia="Times New Roman" w:hAnsi="Times New Roman" w:cs="Times New Roman"/>
        </w:rPr>
        <w:t xml:space="preserve">). The results revealed that female-biased target words were indeed more strongly associated with females (M = 4.44 ± 0.04) than males (M = 2.54 ± 0.23, </w:t>
      </w:r>
      <w:r w:rsidRPr="0074681D">
        <w:rPr>
          <w:rFonts w:ascii="Times New Roman" w:eastAsia="Times New Roman" w:hAnsi="Times New Roman" w:cs="Times New Roman"/>
          <w:i/>
          <w:iCs/>
        </w:rPr>
        <w:t>t</w:t>
      </w:r>
      <w:r w:rsidRPr="0074681D">
        <w:rPr>
          <w:rFonts w:ascii="Times New Roman" w:eastAsia="Times New Roman" w:hAnsi="Times New Roman" w:cs="Times New Roman"/>
        </w:rPr>
        <w:t xml:space="preserve">(190) = 35.63, </w:t>
      </w:r>
      <w:r w:rsidRPr="0074681D">
        <w:rPr>
          <w:rFonts w:ascii="Times New Roman" w:eastAsia="Times New Roman" w:hAnsi="Times New Roman" w:cs="Times New Roman"/>
          <w:i/>
          <w:iCs/>
        </w:rPr>
        <w:t>p</w:t>
      </w:r>
      <w:r w:rsidRPr="0074681D">
        <w:rPr>
          <w:rFonts w:ascii="Times New Roman" w:eastAsia="Times New Roman" w:hAnsi="Times New Roman" w:cs="Times New Roman"/>
        </w:rPr>
        <w:t xml:space="preserve"> &lt; </w:t>
      </w:r>
      <w:r w:rsidRPr="0074681D">
        <w:rPr>
          <w:rFonts w:ascii="Times New Roman" w:hAnsi="Times New Roman" w:cs="Times New Roman"/>
        </w:rPr>
        <w:t>0</w:t>
      </w:r>
      <w:r w:rsidRPr="0074681D">
        <w:rPr>
          <w:rFonts w:ascii="Times New Roman" w:eastAsia="Times New Roman" w:hAnsi="Times New Roman" w:cs="Times New Roman"/>
        </w:rPr>
        <w:t>.001</w:t>
      </w:r>
      <w:r w:rsidRPr="0074681D">
        <w:rPr>
          <w:rFonts w:ascii="Times New Roman" w:hAnsi="Times New Roman" w:cs="Times New Roman"/>
        </w:rPr>
        <w:t>),</w:t>
      </w:r>
      <w:r w:rsidRPr="0074681D">
        <w:rPr>
          <w:rFonts w:ascii="Times New Roman" w:eastAsia="Times New Roman" w:hAnsi="Times New Roman" w:cs="Times New Roman"/>
        </w:rPr>
        <w:t xml:space="preserve"> while the converse was true for the male-biased target words, which were rated as more strongly associated with males (M = 4.36 ± 0.06) than females (M = 2.72 ± 0.23, </w:t>
      </w:r>
      <w:r w:rsidRPr="0074681D">
        <w:rPr>
          <w:rFonts w:ascii="Times New Roman" w:eastAsia="Times New Roman" w:hAnsi="Times New Roman" w:cs="Times New Roman"/>
          <w:i/>
          <w:iCs/>
        </w:rPr>
        <w:t>t</w:t>
      </w:r>
      <w:r w:rsidRPr="0074681D">
        <w:rPr>
          <w:rFonts w:ascii="Times New Roman" w:eastAsia="Times New Roman" w:hAnsi="Times New Roman" w:cs="Times New Roman"/>
        </w:rPr>
        <w:t xml:space="preserve">(190) = 29.96, </w:t>
      </w:r>
      <w:r w:rsidRPr="0074681D">
        <w:rPr>
          <w:rFonts w:ascii="Times New Roman" w:eastAsia="Times New Roman" w:hAnsi="Times New Roman" w:cs="Times New Roman"/>
          <w:i/>
          <w:iCs/>
        </w:rPr>
        <w:t>p</w:t>
      </w:r>
      <w:r w:rsidRPr="0074681D">
        <w:rPr>
          <w:rFonts w:ascii="Times New Roman" w:eastAsia="Times New Roman" w:hAnsi="Times New Roman" w:cs="Times New Roman"/>
        </w:rPr>
        <w:t xml:space="preserve"> &lt; </w:t>
      </w:r>
      <w:r w:rsidRPr="0074681D">
        <w:rPr>
          <w:rFonts w:ascii="Times New Roman" w:hAnsi="Times New Roman" w:cs="Times New Roman"/>
        </w:rPr>
        <w:t>0</w:t>
      </w:r>
      <w:r w:rsidRPr="0074681D">
        <w:rPr>
          <w:rFonts w:ascii="Times New Roman" w:eastAsia="Times New Roman" w:hAnsi="Times New Roman" w:cs="Times New Roman"/>
        </w:rPr>
        <w:t>.001</w:t>
      </w:r>
      <w:r w:rsidRPr="0074681D">
        <w:rPr>
          <w:rFonts w:ascii="Times New Roman" w:hAnsi="Times New Roman" w:cs="Times New Roman"/>
        </w:rPr>
        <w:t>)</w:t>
      </w:r>
      <w:r w:rsidRPr="0074681D">
        <w:rPr>
          <w:rFonts w:ascii="Times New Roman" w:eastAsia="Times New Roman" w:hAnsi="Times New Roman" w:cs="Times New Roman"/>
        </w:rPr>
        <w:t xml:space="preserve">. </w:t>
      </w:r>
      <w:commentRangeEnd w:id="0"/>
      <w:r w:rsidRPr="0074681D">
        <w:rPr>
          <w:rStyle w:val="CommentReference"/>
          <w:sz w:val="24"/>
          <w:szCs w:val="24"/>
        </w:rPr>
        <w:commentReference w:id="0"/>
      </w:r>
    </w:p>
    <w:sectPr w:rsidR="006960B5" w:rsidRPr="007468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o, Y [LST]" w:date="2026-08-20T11:00:00Z" w:initials="YY[">
    <w:p w14:paraId="45FDD019" w14:textId="77777777" w:rsidR="00AD64DF" w:rsidRDefault="00AD64DF">
      <w:pPr>
        <w:pStyle w:val="CommentText"/>
      </w:pPr>
      <w:r>
        <w:rPr>
          <w:rStyle w:val="CommentReference"/>
        </w:rPr>
        <w:annotationRef/>
      </w:r>
      <w:r>
        <w:t>Consider moving this to a separate file (“Report on validation pretests of experimental stimuli”) on OSF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FDD01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315CE4" w16cex:dateUtc="2026-08-20T03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FDD019" w16cid:durableId="2E315C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o, Y [LST]">
    <w15:presenceInfo w15:providerId="None" w15:userId="Yao, Y [LST]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B5"/>
    <w:rsid w:val="00383918"/>
    <w:rsid w:val="006960B5"/>
    <w:rsid w:val="0074681D"/>
    <w:rsid w:val="00793499"/>
    <w:rsid w:val="0081120F"/>
    <w:rsid w:val="00825887"/>
    <w:rsid w:val="009655E9"/>
    <w:rsid w:val="00970D47"/>
    <w:rsid w:val="00AD64DF"/>
    <w:rsid w:val="00AE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AEB1"/>
  <w15:chartTrackingRefBased/>
  <w15:docId w15:val="{DA08B815-4DFD-4BD2-99E4-AE429AE3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B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D64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64DF"/>
    <w:pPr>
      <w:spacing w:line="240" w:lineRule="auto"/>
    </w:pPr>
    <w:rPr>
      <w:kern w:val="0"/>
      <w:sz w:val="20"/>
      <w:szCs w:val="20"/>
      <w:lang w:val="en-GB" w:eastAsia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64DF"/>
    <w:rPr>
      <w:kern w:val="0"/>
      <w:sz w:val="20"/>
      <w:szCs w:val="20"/>
      <w:lang w:val="en-GB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Yunr FY [LST]</dc:creator>
  <cp:keywords/>
  <dc:description/>
  <cp:lastModifiedBy>FENG, Yunr FY [LST]</cp:lastModifiedBy>
  <cp:revision>6</cp:revision>
  <dcterms:created xsi:type="dcterms:W3CDTF">2026-08-20T14:28:00Z</dcterms:created>
  <dcterms:modified xsi:type="dcterms:W3CDTF">2026-08-21T07:30:00Z</dcterms:modified>
</cp:coreProperties>
</file>