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r/>
            <w:r>
              <w:rPr>
                <w:rFonts w:ascii="標楷體" w:hAnsi="標楷體"/>
                <w:b/>
                <w:color w:val="FF0000"/>
                <w:rFonts w:eastAsia="標楷體"/>
                <w:sz w:val="28"/>
              </w:rPr>
              <w:t>收件編號：</w:t>
            </w:r>
            <w:r>
              <w:rPr>
                <w:rFonts w:ascii="標楷體" w:hAnsi="標楷體"/>
                <w:b/>
                <w:rFonts w:eastAsia="標楷體"/>
                <w:sz w:val="28"/>
              </w:rPr>
              <w:t>003號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32"/>
              </w:rPr>
              <w:t>111年民調字第001號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損害賠償糾紛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111年01月11日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112年05月03日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黃佳琪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蔡建興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調解成立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核定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 年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127 年 6 月 11 日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4"/>
              </w:rPr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主席B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委員C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經辦人A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96D49E1" w14:textId="27316366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EC5FA48" w14:textId="2CBF0CA2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3F61A42" w14:textId="1A29BC0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16B6A55" w14:textId="38546EC1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 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4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5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10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