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750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950933D" w14:textId="77777777" w:rsidTr="00AA1B13">
        <w:tc>
          <w:tcPr>
            <w:tcW w:w="959" w:type="dxa"/>
            <w:vAlign w:val="center"/>
          </w:tcPr>
          <w:p w14:paraId="2CE0735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9B51DC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4453BD4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F15259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5C5A86F" w14:textId="77777777" w:rsidTr="00AA1B13">
        <w:tc>
          <w:tcPr>
            <w:tcW w:w="959" w:type="dxa"/>
            <w:vAlign w:val="center"/>
          </w:tcPr>
          <w:p w14:paraId="732D3C29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969E92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F226B8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68455F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DE2AD7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C265632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A62037F" w14:textId="77777777" w:rsidTr="00AA1B13">
        <w:tc>
          <w:tcPr>
            <w:tcW w:w="959" w:type="dxa"/>
          </w:tcPr>
          <w:p w14:paraId="4ADB963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51ED1C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AD20048" w14:textId="77777777" w:rsidTr="00AA1B13">
        <w:tc>
          <w:tcPr>
            <w:tcW w:w="959" w:type="dxa"/>
            <w:vMerge w:val="restart"/>
            <w:vAlign w:val="center"/>
          </w:tcPr>
          <w:p w14:paraId="4D2D214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762DAE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7524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6FFF59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47CC55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1AAA81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B004BC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567288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18B390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517CE4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D50989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7FB825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6C3622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098336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59F8BEB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6B9A3E9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3D86B1C" w14:textId="77777777" w:rsidTr="00AA1B13">
        <w:tc>
          <w:tcPr>
            <w:tcW w:w="959" w:type="dxa"/>
            <w:vMerge/>
            <w:vAlign w:val="center"/>
          </w:tcPr>
          <w:p w14:paraId="35618D7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A7C063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308120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7A75A8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A4990D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345783F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B22C5F3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010FCE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6C30D0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2F9668C" w14:textId="77777777" w:rsidTr="00AA1B13">
        <w:tc>
          <w:tcPr>
            <w:tcW w:w="959" w:type="dxa"/>
            <w:vMerge/>
            <w:vAlign w:val="center"/>
          </w:tcPr>
          <w:p w14:paraId="309204A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CC8B78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B35BFD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80D501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1C5F94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AB7CF4B" w14:textId="77777777" w:rsidTr="00AA1B13">
        <w:tc>
          <w:tcPr>
            <w:tcW w:w="959" w:type="dxa"/>
            <w:vAlign w:val="center"/>
          </w:tcPr>
          <w:p w14:paraId="54DFDA75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ACCA3EE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7B9AAB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8D8073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29A0B7F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153FC5B" w14:textId="77777777" w:rsidTr="00AA1B13">
        <w:tc>
          <w:tcPr>
            <w:tcW w:w="959" w:type="dxa"/>
            <w:vAlign w:val="center"/>
          </w:tcPr>
          <w:p w14:paraId="3898470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4E924F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F3C00A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BF105B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875268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196B391" w14:textId="77777777" w:rsidTr="00AA1B13">
        <w:tc>
          <w:tcPr>
            <w:tcW w:w="959" w:type="dxa"/>
            <w:vAlign w:val="center"/>
          </w:tcPr>
          <w:p w14:paraId="3E051DC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5552D4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FB77EB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D84547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8A874D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5AA46BA" w14:textId="77777777" w:rsidTr="00AA1B13">
        <w:tc>
          <w:tcPr>
            <w:tcW w:w="959" w:type="dxa"/>
            <w:vAlign w:val="center"/>
          </w:tcPr>
          <w:p w14:paraId="6D73B79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B57D82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40B389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D86C115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0683066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815A94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20CA63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A50A0F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23CAEB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D06E9FB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D4B440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B61D" w14:textId="77777777" w:rsidR="00C53CF6" w:rsidRDefault="00C53CF6" w:rsidP="00FD21EA">
      <w:r>
        <w:separator/>
      </w:r>
    </w:p>
  </w:endnote>
  <w:endnote w:type="continuationSeparator" w:id="0">
    <w:p w14:paraId="02139CE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DEDE" w14:textId="77777777" w:rsidR="00C53CF6" w:rsidRDefault="00C53CF6" w:rsidP="00FD21EA">
      <w:r>
        <w:separator/>
      </w:r>
    </w:p>
  </w:footnote>
  <w:footnote w:type="continuationSeparator" w:id="0">
    <w:p w14:paraId="76F12DE2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4856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57885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1411FE"/>
  <w15:chartTrackingRefBased/>
  <w15:docId w15:val="{F6A129DE-E465-4A9A-AB48-C749EBA6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