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F61161B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4253F1B7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296CBEDE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BE305C4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1DD19F7F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A99E4D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CED26E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0FA767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9F612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45F490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2680361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FA7762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766BBA2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C6F1833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947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D78F1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5A73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CD7F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55F7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D32E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772E2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D99F18F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540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4D29D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06F6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2DCBB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DB50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69D3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93DF0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2711E02F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5D4ED3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49D30F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D6C79B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585BF8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3ADA74F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73D236D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28E2EFE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0CB849E9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7F83DCB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9676226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1E2D17A2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2F074CC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1DBD92DF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0D401B42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4F81B68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6F626879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5D12" w14:textId="77777777" w:rsidR="008C7FD5" w:rsidRDefault="008C7FD5" w:rsidP="00311D87">
      <w:r>
        <w:separator/>
      </w:r>
    </w:p>
  </w:endnote>
  <w:endnote w:type="continuationSeparator" w:id="0">
    <w:p w14:paraId="5BADE0D3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DE52" w14:textId="77777777" w:rsidR="008C7FD5" w:rsidRDefault="008C7FD5" w:rsidP="00311D87">
      <w:r>
        <w:separator/>
      </w:r>
    </w:p>
  </w:footnote>
  <w:footnote w:type="continuationSeparator" w:id="0">
    <w:p w14:paraId="1DCF3137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0BA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69F587"/>
  <w15:chartTrackingRefBased/>
  <w15:docId w15:val="{616CD921-E907-49B8-B1E1-2AD82BE8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