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郭雅筑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807高雄市三民區建國南路14號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111年刑調字第004號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