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案號112年民調字第005號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收件編號：029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鄭佩珊</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52.02.09</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B334234036</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基隆市中正區和平路166號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莊建宏</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51.05.05</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B624123175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新竹市東區東大路167號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上開當事人間因「損害賠償糾紛事件」，於民國112年06月06日上午09時10分在本會調解室調解成立，內容如下：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聲請人鄭佩珊自稱於109.12.05時，前往苗栗縣苑裡鎮中正路與文化路口 [於此寫入行為]，對造人莊建宏[於此寫入行為]，導致聲請人鄭佩珊受有財產上之損害，因私下和解不成，故申請本案調解。，雙方同意如下：</w:t>
      </w:r>
    </w:p>
    <w:p>
      <w:pPr>
        <w:pStyle w:val="CustomNumberStyle"/>
      </w:pPr>
      <w:r>
        <w:rPr>
          <w:rFonts w:ascii="標楷體" w:hAnsi="標楷體"/>
          <w:b w:val="0"/>
          <w:rFonts w:eastAsia="標楷體"/>
          <w:sz w:val="24"/>
        </w:rPr>
        <w:t>一、</w:t>
        <w:tab/>
        <w:t>對造人莊建宏同意賠償聲請人鄭佩珊財產損失共計新台幣(下同)[??萬??千]元整，該筆金額將於民國[?]年[?]月[?]日(含當日)前給付至聲請人鄭佩珊所提供之帳戶內，不另立據。</w:t>
      </w:r>
    </w:p>
    <w:p>
      <w:pPr>
        <w:pStyle w:val="CustomNumberStyle"/>
      </w:pPr>
      <w:r>
        <w:rPr>
          <w:rFonts w:ascii="標楷體" w:hAnsi="標楷體"/>
          <w:b w:val="0"/>
          <w:rFonts w:eastAsia="標楷體"/>
          <w:sz w:val="24"/>
        </w:rPr>
        <w:t>二、</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鄭佩珊                                      對造人: 莊建宏</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