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C8F89" w14:textId="00881680" w:rsidR="00F3315A" w:rsidRPr="00F3315A" w:rsidRDefault="00F3315A">
      <w:pPr>
        <w:rPr>
          <w:rFonts w:ascii="Gill Sans MT" w:hAnsi="Gill Sans MT" w:hint="eastAsia"/>
          <w:b/>
          <w:bCs/>
          <w:sz w:val="32"/>
          <w:szCs w:val="36"/>
        </w:rPr>
      </w:pPr>
      <w:r w:rsidRPr="00F3315A">
        <w:rPr>
          <w:rFonts w:ascii="Gill Sans MT" w:hAnsi="Gill Sans MT"/>
          <w:b/>
          <w:bCs/>
          <w:sz w:val="32"/>
          <w:szCs w:val="36"/>
        </w:rPr>
        <w:t>Appendix</w:t>
      </w:r>
    </w:p>
    <w:p w14:paraId="3C2D3CD6" w14:textId="77777777" w:rsidR="00F3315A" w:rsidRPr="00E9004B" w:rsidRDefault="00F3315A" w:rsidP="00F3315A">
      <w:pPr>
        <w:spacing w:before="240" w:line="259" w:lineRule="auto"/>
        <w:rPr>
          <w:rFonts w:ascii="Calibri" w:eastAsia="DengXian" w:hAnsi="Calibri" w:cs="Times New Roman"/>
          <w:b/>
          <w:bCs/>
        </w:rPr>
      </w:pPr>
      <w:r w:rsidRPr="00E9004B">
        <w:rPr>
          <w:rFonts w:ascii="Calibri" w:eastAsia="DengXian" w:hAnsi="Calibri" w:cs="Times New Roman" w:hint="eastAsia"/>
          <w:b/>
          <w:bCs/>
        </w:rPr>
        <w:t>T</w:t>
      </w:r>
      <w:r w:rsidRPr="00E9004B">
        <w:rPr>
          <w:rFonts w:ascii="Calibri" w:eastAsia="DengXian" w:hAnsi="Calibri" w:cs="Times New Roman"/>
          <w:b/>
          <w:bCs/>
        </w:rPr>
        <w:t>able 3</w:t>
      </w:r>
      <w:r w:rsidRPr="00E9004B">
        <w:rPr>
          <w:rFonts w:ascii="Calibri" w:eastAsia="DengXian" w:hAnsi="Calibri" w:cs="Times New Roman" w:hint="eastAsia"/>
          <w:b/>
          <w:bCs/>
        </w:rPr>
        <w:t>.1</w:t>
      </w:r>
      <w:r w:rsidRPr="00FD3F2F">
        <w:rPr>
          <w:rFonts w:ascii="Calibri" w:eastAsia="DengXian" w:hAnsi="Calibri" w:cs="Times New Roman"/>
        </w:rPr>
        <w:t xml:space="preserve"> </w:t>
      </w:r>
      <w:r w:rsidRPr="00FD3F2F">
        <w:rPr>
          <w:rFonts w:ascii="Calibri" w:eastAsia="DengXian" w:hAnsi="Calibri" w:cs="Times New Roman" w:hint="eastAsia"/>
        </w:rPr>
        <w:t xml:space="preserve">Potential </w:t>
      </w:r>
      <w:r w:rsidRPr="00FD3F2F">
        <w:rPr>
          <w:rFonts w:ascii="Calibri" w:eastAsia="DengXian" w:hAnsi="Calibri" w:cs="Times New Roman"/>
        </w:rPr>
        <w:t>Variables</w:t>
      </w:r>
      <w:r>
        <w:rPr>
          <w:rFonts w:ascii="Calibri" w:eastAsia="DengXian" w:hAnsi="Calibri" w:cs="Times New Roman" w:hint="eastAsia"/>
        </w:rPr>
        <w:t xml:space="preserve"> and </w:t>
      </w:r>
      <w:r w:rsidRPr="00FD3F2F">
        <w:rPr>
          <w:rFonts w:ascii="Calibri" w:eastAsia="DengXian" w:hAnsi="Calibri" w:cs="Times New Roman"/>
        </w:rPr>
        <w:t>Data Sources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2"/>
        <w:gridCol w:w="899"/>
        <w:gridCol w:w="968"/>
        <w:gridCol w:w="910"/>
        <w:gridCol w:w="908"/>
        <w:gridCol w:w="939"/>
      </w:tblGrid>
      <w:tr w:rsidR="00F3315A" w:rsidRPr="00F3315A" w14:paraId="717F5D1E" w14:textId="77777777" w:rsidTr="00E55E27">
        <w:trPr>
          <w:jc w:val="center"/>
        </w:trPr>
        <w:tc>
          <w:tcPr>
            <w:tcW w:w="244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83C2E6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V</w:t>
            </w:r>
            <w:r w:rsidRPr="00F3315A">
              <w:rPr>
                <w:rFonts w:ascii="Calibri" w:eastAsia="DengXian" w:hAnsi="Calibri" w:cs="Calibri"/>
                <w:b/>
                <w:bCs/>
              </w:rPr>
              <w:t>ariables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D8AD4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mean</w:t>
            </w:r>
          </w:p>
        </w:tc>
        <w:tc>
          <w:tcPr>
            <w:tcW w:w="53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C275B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std</w:t>
            </w:r>
          </w:p>
        </w:tc>
        <w:tc>
          <w:tcPr>
            <w:tcW w:w="50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FE8820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min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92B10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max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B5CCD1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b/>
                <w:bCs/>
              </w:rPr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Data Source</w:t>
            </w:r>
          </w:p>
        </w:tc>
      </w:tr>
      <w:tr w:rsidR="00F3315A" w:rsidRPr="00F3315A" w14:paraId="0E5F7CAF" w14:textId="77777777" w:rsidTr="00E55E27">
        <w:trPr>
          <w:jc w:val="center"/>
        </w:trPr>
        <w:tc>
          <w:tcPr>
            <w:tcW w:w="5000" w:type="pct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3E243704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b/>
                <w:bCs/>
              </w:rPr>
              <w:t>Dependent Variables</w:t>
            </w:r>
          </w:p>
        </w:tc>
      </w:tr>
      <w:tr w:rsidR="00F3315A" w:rsidRPr="00F3315A" w14:paraId="25AA79F0" w14:textId="77777777" w:rsidTr="00E55E27">
        <w:trPr>
          <w:trHeight w:val="411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EEC1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Aggregated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Bicycle rental trips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at each Santander Cycle Station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3EFC6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</w:t>
            </w:r>
            <w:r w:rsidRPr="00F3315A">
              <w:rPr>
                <w:rFonts w:ascii="Calibri" w:eastAsia="SimSun" w:hAnsi="Calibri" w:cs="Calibri" w:hint="eastAsia"/>
                <w:sz w:val="20"/>
                <w:szCs w:val="20"/>
              </w:rPr>
              <w:t>6790.79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22200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 w:hint="eastAsia"/>
                <w:sz w:val="20"/>
                <w:szCs w:val="20"/>
              </w:rPr>
              <w:t>10674.76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F1C27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 w:hint="eastAsia"/>
                <w:sz w:val="20"/>
                <w:szCs w:val="20"/>
              </w:rPr>
              <w:t>1215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DDAC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 w:hint="eastAsia"/>
                <w:sz w:val="20"/>
                <w:szCs w:val="20"/>
              </w:rPr>
              <w:t>94329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D4FB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hyperlink r:id="rId4" w:history="1">
              <w:r w:rsidRPr="00F3315A">
                <w:rPr>
                  <w:rStyle w:val="a4"/>
                  <w:rFonts w:ascii="Calibri" w:eastAsia="DengXian" w:hAnsi="Calibri" w:cs="Calibri" w:hint="eastAsia"/>
                  <w:color w:val="auto"/>
                  <w:sz w:val="20"/>
                  <w:szCs w:val="20"/>
                </w:rPr>
                <w:t>Cycling Data TFL</w:t>
              </w:r>
            </w:hyperlink>
          </w:p>
        </w:tc>
      </w:tr>
      <w:tr w:rsidR="00F3315A" w:rsidRPr="00F3315A" w14:paraId="6DFF932B" w14:textId="77777777" w:rsidTr="00E55E27">
        <w:trPr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4B8BB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b/>
                <w:bCs/>
              </w:rPr>
              <w:t>Independent Variables</w:t>
            </w:r>
          </w:p>
        </w:tc>
      </w:tr>
      <w:tr w:rsidR="00F3315A" w:rsidRPr="00F3315A" w14:paraId="78D2E759" w14:textId="77777777" w:rsidTr="00E55E27">
        <w:trPr>
          <w:jc w:val="center"/>
        </w:trPr>
        <w:tc>
          <w:tcPr>
            <w:tcW w:w="449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DC7C8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b/>
                <w:bCs/>
              </w:rPr>
              <w:t>Demographic heterogeneity</w:t>
            </w:r>
          </w:p>
        </w:tc>
        <w:tc>
          <w:tcPr>
            <w:tcW w:w="50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BA5F5C9" w14:textId="77777777" w:rsidR="00F3315A" w:rsidRPr="00F3315A" w:rsidRDefault="00F3315A" w:rsidP="00E55E27">
            <w:pPr>
              <w:spacing w:before="240"/>
              <w:rPr>
                <w:u w:val="single"/>
              </w:rPr>
            </w:pPr>
            <w:hyperlink r:id="rId5" w:history="1">
              <w:r w:rsidRPr="00F3315A">
                <w:rPr>
                  <w:rStyle w:val="a4"/>
                  <w:rFonts w:ascii="Calibri" w:hAnsi="Calibri" w:cs="Calibri"/>
                  <w:color w:val="auto"/>
                  <w:sz w:val="20"/>
                  <w:szCs w:val="20"/>
                </w:rPr>
                <w:t>CDRC-IMD 2019</w:t>
              </w:r>
            </w:hyperlink>
          </w:p>
        </w:tc>
      </w:tr>
      <w:tr w:rsidR="00F3315A" w:rsidRPr="00F3315A" w14:paraId="55C45484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24A0A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Population density (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person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/km²)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F37E0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11173.52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F68D6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7254.62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B920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BE33B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34746.09</w:t>
            </w:r>
          </w:p>
        </w:tc>
        <w:tc>
          <w:tcPr>
            <w:tcW w:w="505" w:type="pct"/>
            <w:vMerge/>
            <w:tcBorders>
              <w:left w:val="nil"/>
              <w:right w:val="nil"/>
            </w:tcBorders>
            <w:vAlign w:val="center"/>
          </w:tcPr>
          <w:p w14:paraId="34F929C6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5A501C67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7EB1FA5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Deprivation 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Level (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Index of Multiple Deprivation (IMD) Score of the LSOA where 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bike docking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station locates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)</w:t>
            </w:r>
            <w:r w:rsidRPr="00F3315A">
              <w:rPr>
                <w:rFonts w:eastAsia="DengXian"/>
                <w:sz w:val="20"/>
                <w:szCs w:val="20"/>
              </w:rPr>
              <w:t xml:space="preserve"> </w:t>
            </w:r>
          </w:p>
        </w:tc>
        <w:tc>
          <w:tcPr>
            <w:tcW w:w="50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229F906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0.46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F432D39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0.23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F2ADFF1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ADDDA2C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1.00</w:t>
            </w:r>
          </w:p>
        </w:tc>
        <w:tc>
          <w:tcPr>
            <w:tcW w:w="505" w:type="pct"/>
            <w:vMerge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C07979C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1BA235AC" w14:textId="77777777" w:rsidTr="00E55E27">
        <w:trPr>
          <w:trHeight w:val="266"/>
          <w:jc w:val="center"/>
        </w:trPr>
        <w:tc>
          <w:tcPr>
            <w:tcW w:w="5000" w:type="pct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E5E885D" w14:textId="77777777" w:rsidR="00F3315A" w:rsidRPr="00F3315A" w:rsidRDefault="00F3315A" w:rsidP="00E55E27">
            <w:pPr>
              <w:spacing w:before="240"/>
            </w:pPr>
            <w:r w:rsidRPr="00F3315A">
              <w:rPr>
                <w:rFonts w:ascii="Calibri" w:eastAsia="DengXian" w:hAnsi="Calibri" w:cs="Calibri"/>
                <w:b/>
                <w:bCs/>
              </w:rPr>
              <w:t>Transport connectivity</w:t>
            </w:r>
          </w:p>
        </w:tc>
      </w:tr>
      <w:tr w:rsidR="00F3315A" w:rsidRPr="00F3315A" w14:paraId="70DD1960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1D1D0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Road density (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k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m/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k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m²)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AF99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30.66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61EA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11.86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A03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78314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89.85</w:t>
            </w:r>
          </w:p>
        </w:tc>
        <w:tc>
          <w:tcPr>
            <w:tcW w:w="50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7C6936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hyperlink r:id="rId6" w:history="1">
              <w:r w:rsidRPr="00F3315A">
                <w:rPr>
                  <w:rStyle w:val="a4"/>
                  <w:rFonts w:ascii="Calibri" w:eastAsia="DengXian" w:hAnsi="Calibri" w:cs="Calibri"/>
                  <w:color w:val="auto"/>
                  <w:sz w:val="20"/>
                  <w:szCs w:val="20"/>
                </w:rPr>
                <w:t>Digimap Ordnance Survey Service</w:t>
              </w:r>
            </w:hyperlink>
          </w:p>
        </w:tc>
      </w:tr>
      <w:tr w:rsidR="00F3315A" w:rsidRPr="00F3315A" w14:paraId="0BEB9249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37321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Distance to the nearest bus station (m)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4B18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158.23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C2BB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156.88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6D05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4.64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496C4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881.73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88B745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6360DBCF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7A12E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Distance to the nearest underground station (m)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576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432.93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9B1C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301.68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646E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4.35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B18C8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1433.80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3529D15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2976C961" w14:textId="77777777" w:rsidTr="00E55E27">
        <w:trPr>
          <w:trHeight w:val="432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D8259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Average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Distance to the nearest railway station (m)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4441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371.39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D6D1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225.09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F18BE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169.37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27D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9017.37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3716E9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7A548A80" w14:textId="77777777" w:rsidTr="00E55E27">
        <w:trPr>
          <w:trHeight w:val="432"/>
          <w:jc w:val="center"/>
        </w:trPr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1854D2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Average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Distance to Central Activity Zone centroid (m)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vAlign w:val="center"/>
          </w:tcPr>
          <w:p w14:paraId="397ADA2D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3945.38</w:t>
            </w:r>
          </w:p>
        </w:tc>
        <w:tc>
          <w:tcPr>
            <w:tcW w:w="539" w:type="pct"/>
            <w:tcBorders>
              <w:top w:val="nil"/>
              <w:left w:val="nil"/>
              <w:right w:val="nil"/>
            </w:tcBorders>
            <w:vAlign w:val="center"/>
          </w:tcPr>
          <w:p w14:paraId="3910BAAD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2069.12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vAlign w:val="center"/>
          </w:tcPr>
          <w:p w14:paraId="51D65FE1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169.37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vAlign w:val="center"/>
          </w:tcPr>
          <w:p w14:paraId="28291D32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9017.37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C51D491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4D0BA022" w14:textId="77777777" w:rsidTr="00E55E27">
        <w:trPr>
          <w:jc w:val="center"/>
        </w:trPr>
        <w:tc>
          <w:tcPr>
            <w:tcW w:w="4495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5249D0" w14:textId="77777777" w:rsidR="00F3315A" w:rsidRPr="00F3315A" w:rsidRDefault="00F3315A" w:rsidP="00E55E27">
            <w:pPr>
              <w:spacing w:before="240"/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Land Use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7E6670A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365606A1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065A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Area of Retail land-use per 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F87E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DA79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5E85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AF366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1.15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287D27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73AE477C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91094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Area of Residential land-use per 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B930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1.24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61B7E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1.57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954F7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574E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14.58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2B216E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6712561B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947AB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Area of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Leisure Park land-use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per 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F736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0.84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B92E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2.79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0A41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C04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0.00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C507E83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2D9E8C3B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E4704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Area of Commercial land-use 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vAlign w:val="center"/>
          </w:tcPr>
          <w:p w14:paraId="18772BF0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right w:val="nil"/>
            </w:tcBorders>
            <w:vAlign w:val="center"/>
          </w:tcPr>
          <w:p w14:paraId="2EDD549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0.61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vAlign w:val="center"/>
          </w:tcPr>
          <w:p w14:paraId="7C037D8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0.00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vAlign w:val="center"/>
          </w:tcPr>
          <w:p w14:paraId="2CF44964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9.07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B0399A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6064247E" w14:textId="77777777" w:rsidTr="00E55E27">
        <w:trPr>
          <w:trHeight w:val="423"/>
          <w:jc w:val="center"/>
        </w:trPr>
        <w:tc>
          <w:tcPr>
            <w:tcW w:w="4495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76919F" w14:textId="77777777" w:rsidR="00F3315A" w:rsidRPr="00F3315A" w:rsidRDefault="00F3315A" w:rsidP="00E55E27">
            <w:pPr>
              <w:spacing w:before="240"/>
            </w:pPr>
            <w:r w:rsidRPr="00F3315A">
              <w:rPr>
                <w:rFonts w:ascii="Calibri" w:eastAsia="DengXian" w:hAnsi="Calibri" w:cs="Calibri" w:hint="eastAsia"/>
                <w:b/>
                <w:bCs/>
              </w:rPr>
              <w:t>Points of Interest (POI)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BD4099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4B14761A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D9CD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b/>
                <w:bCs/>
                <w:sz w:val="20"/>
                <w:szCs w:val="20"/>
                <w:lang w:val="da-DK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  <w:lang w:val="da-DK"/>
              </w:rPr>
              <w:t>POI E</w:t>
            </w:r>
            <w:r w:rsidRPr="00F3315A">
              <w:rPr>
                <w:rFonts w:ascii="Calibri" w:eastAsia="DengXian" w:hAnsi="Calibri" w:cs="Calibri"/>
                <w:sz w:val="20"/>
                <w:szCs w:val="20"/>
                <w:lang w:val="da-DK"/>
              </w:rPr>
              <w:t>ntropy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  <w:lang w:val="da-DK"/>
              </w:rPr>
              <w:t xml:space="preserve">:  H= </w:t>
            </w:r>
            <m:oMath>
              <m:r>
                <w:rPr>
                  <w:rFonts w:ascii="Cambria Math" w:eastAsia="DengXian" w:hAnsi="Cambria Math" w:cs="Calibri"/>
                  <w:sz w:val="20"/>
                  <w:szCs w:val="20"/>
                  <w:lang w:val="da-DK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DengXian" w:hAnsi="Cambria Math" w:cs="Calibr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DengXian" w:hAnsi="Cambria Math" w:cs="Calibri" w:hint="eastAsia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val="da-DK"/>
                    </w:rPr>
                    <m:t>=1</m:t>
                  </m:r>
                </m:sub>
                <m:sup>
                  <m:r>
                    <w:rPr>
                      <w:rFonts w:ascii="Cambria Math" w:eastAsia="DengXian" w:hAnsi="Cambria Math" w:cs="Calibri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Calibr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DengXian" w:hAnsi="Cambria Math" w:cs="Calibr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da-DK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oMath>
            <w:r w:rsidRPr="00F3315A">
              <w:rPr>
                <w:rFonts w:ascii="Calibri" w:eastAsia="DengXian" w:hAnsi="Calibri" w:cs="Calibri" w:hint="eastAsia"/>
                <w:sz w:val="20"/>
                <w:szCs w:val="20"/>
                <w:lang w:val="da-DK"/>
              </w:rPr>
              <w:t xml:space="preserve">  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87A1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  <w:lang w:val="da-DK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1.49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B96C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  <w:lang w:val="da-DK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0.28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4CF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  <w:lang w:val="da-DK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36F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  <w:lang w:val="da-DK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2.16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3360C7" w14:textId="77777777" w:rsidR="00F3315A" w:rsidRPr="00F3315A" w:rsidRDefault="00F3315A" w:rsidP="00E55E27">
            <w:pPr>
              <w:spacing w:before="240"/>
              <w:rPr>
                <w:lang w:val="da-DK"/>
              </w:rPr>
            </w:pPr>
          </w:p>
        </w:tc>
      </w:tr>
      <w:tr w:rsidR="00F3315A" w:rsidRPr="00F3315A" w14:paraId="2F7E6A2C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3AC0B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offices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11B8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467.05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06CBA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738.75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DD7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C3BE1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11044.21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D1FA5C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2B35EA2D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BF02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lastRenderedPageBreak/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</w:t>
            </w:r>
            <w:proofErr w:type="gramStart"/>
            <w:r w:rsidRPr="00F3315A">
              <w:rPr>
                <w:rFonts w:ascii="Calibri" w:eastAsia="DengXian" w:hAnsi="Calibri" w:cs="Calibri"/>
                <w:sz w:val="20"/>
                <w:szCs w:val="20"/>
              </w:rPr>
              <w:t>education</w:t>
            </w:r>
            <w:proofErr w:type="gramEnd"/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</w:t>
            </w:r>
            <w:proofErr w:type="spellStart"/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institudes</w:t>
            </w:r>
            <w:proofErr w:type="spellEnd"/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DDAA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7.31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C7FE6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11.29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7CCA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709F5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85.78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645B4CD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0474A46E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581AF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public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facilities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FF67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63.85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ECA52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46.98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44C3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63.85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D663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46.98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0A77D0A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26066DF3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C17E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sports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facilities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FB4B9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11.08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EEA7" w14:textId="77777777" w:rsidR="00F3315A" w:rsidRPr="00F3315A" w:rsidRDefault="00F3315A" w:rsidP="00E55E27">
            <w:pPr>
              <w:spacing w:before="240"/>
              <w:rPr>
                <w:rFonts w:ascii="Calibri" w:eastAsia="SimSu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13.68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46784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11.08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0DB1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13.68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9E17DE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1407B181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4D5FF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Catering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Site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85DB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167.85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603D1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249.07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39EC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167.85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3FA23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249.07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49FDDAA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76EB2ACC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1672D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daily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shopping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places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DD80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45.54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13B2A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52.64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76E8E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45.54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9358D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52.64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E82549" w14:textId="77777777" w:rsidR="00F3315A" w:rsidRPr="00F3315A" w:rsidRDefault="00F3315A" w:rsidP="00E55E27">
            <w:pPr>
              <w:spacing w:before="240"/>
            </w:pPr>
          </w:p>
        </w:tc>
      </w:tr>
      <w:tr w:rsidR="00F3315A" w:rsidRPr="00F3315A" w14:paraId="186B6AEE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C6AD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non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-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essential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retail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shop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3AA5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102.51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AE775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206.67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E4626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6070E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1916.51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5898977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</w:rPr>
            </w:pPr>
          </w:p>
        </w:tc>
      </w:tr>
      <w:tr w:rsidR="00F3315A" w:rsidRPr="00F3315A" w14:paraId="2FBAAFA2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1F7FC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Number of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 indoor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entertain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ment places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38259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13.93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C574A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30.19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8C3F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A28F9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389.23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D62BB5C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</w:rPr>
            </w:pPr>
          </w:p>
        </w:tc>
      </w:tr>
      <w:tr w:rsidR="00F3315A" w:rsidRPr="00F3315A" w14:paraId="23E1AF39" w14:textId="77777777" w:rsidTr="00E55E27">
        <w:trPr>
          <w:trHeight w:val="423"/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0B351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Number of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Short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-Term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Accommodation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 xml:space="preserve"> per 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>km²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vAlign w:val="center"/>
          </w:tcPr>
          <w:p w14:paraId="581BFF9E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13.98</w:t>
            </w:r>
          </w:p>
        </w:tc>
        <w:tc>
          <w:tcPr>
            <w:tcW w:w="539" w:type="pct"/>
            <w:tcBorders>
              <w:top w:val="nil"/>
              <w:left w:val="nil"/>
              <w:right w:val="nil"/>
            </w:tcBorders>
            <w:vAlign w:val="center"/>
          </w:tcPr>
          <w:p w14:paraId="452A3E65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31.14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vAlign w:val="center"/>
          </w:tcPr>
          <w:p w14:paraId="00A8750C" w14:textId="77777777" w:rsidR="00F3315A" w:rsidRPr="00F3315A" w:rsidRDefault="00F3315A" w:rsidP="00E55E27">
            <w:pPr>
              <w:spacing w:before="240"/>
              <w:rPr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vAlign w:val="center"/>
          </w:tcPr>
          <w:p w14:paraId="599F045B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453.24</w:t>
            </w:r>
          </w:p>
        </w:tc>
        <w:tc>
          <w:tcPr>
            <w:tcW w:w="505" w:type="pct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76FD56" w14:textId="77777777" w:rsidR="00F3315A" w:rsidRPr="00F3315A" w:rsidRDefault="00F3315A" w:rsidP="00E55E27">
            <w:pPr>
              <w:spacing w:before="240"/>
              <w:rPr>
                <w:rFonts w:ascii="Calibri" w:hAnsi="Calibri" w:cs="Calibri"/>
              </w:rPr>
            </w:pPr>
          </w:p>
        </w:tc>
      </w:tr>
      <w:tr w:rsidR="00F3315A" w:rsidRPr="00F3315A" w14:paraId="21445128" w14:textId="77777777" w:rsidTr="00E55E27">
        <w:trPr>
          <w:jc w:val="center"/>
        </w:trPr>
        <w:tc>
          <w:tcPr>
            <w:tcW w:w="244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0BF586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</w:rPr>
            </w:pPr>
            <w:r w:rsidRPr="00F3315A">
              <w:rPr>
                <w:rFonts w:ascii="Calibri" w:eastAsia="DengXian" w:hAnsi="Calibri" w:cs="Calibri"/>
                <w:b/>
                <w:bCs/>
              </w:rPr>
              <w:t xml:space="preserve">Mobility </w:t>
            </w:r>
            <w:proofErr w:type="spellStart"/>
            <w:r w:rsidRPr="00F3315A">
              <w:rPr>
                <w:rFonts w:ascii="Calibri" w:eastAsia="DengXian" w:hAnsi="Calibri" w:cs="Calibri"/>
                <w:b/>
                <w:bCs/>
              </w:rPr>
              <w:t>behaviour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D6EB05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31ABF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325FC03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  <w:tc>
          <w:tcPr>
            <w:tcW w:w="506" w:type="pc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341C4C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  <w:tc>
          <w:tcPr>
            <w:tcW w:w="505" w:type="pct"/>
            <w:vMerge w:val="restar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0D26B6ED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hyperlink r:id="rId7" w:history="1">
              <w:r w:rsidRPr="00F3315A">
                <w:rPr>
                  <w:rStyle w:val="a4"/>
                  <w:rFonts w:ascii="Calibri" w:eastAsia="DengXian" w:hAnsi="Calibri" w:cs="Calibri"/>
                  <w:color w:val="auto"/>
                  <w:sz w:val="20"/>
                  <w:szCs w:val="20"/>
                </w:rPr>
                <w:t>2021 Cencus- LONDON DATASTORE</w:t>
              </w:r>
            </w:hyperlink>
          </w:p>
        </w:tc>
      </w:tr>
      <w:tr w:rsidR="00F3315A" w:rsidRPr="00F3315A" w14:paraId="2312E915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A38B2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/>
                <w:sz w:val="20"/>
                <w:szCs w:val="20"/>
              </w:rPr>
              <w:t>Ratio of households with no car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DF911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0.67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8CEA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CAF7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0.32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370E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0.87</w:t>
            </w:r>
          </w:p>
        </w:tc>
        <w:tc>
          <w:tcPr>
            <w:tcW w:w="505" w:type="pct"/>
            <w:vMerge/>
            <w:tcBorders>
              <w:left w:val="nil"/>
              <w:right w:val="nil"/>
            </w:tcBorders>
            <w:vAlign w:val="center"/>
          </w:tcPr>
          <w:p w14:paraId="7560F138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</w:tr>
      <w:tr w:rsidR="00F3315A" w:rsidRPr="00F3315A" w14:paraId="19465DE4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4884C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R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esidents aged 16 and over in employment who work mainly at </w:t>
            </w:r>
            <w:proofErr w:type="gramStart"/>
            <w:r w:rsidRPr="00F3315A">
              <w:rPr>
                <w:rFonts w:ascii="Calibri" w:eastAsia="DengXian" w:hAnsi="Calibri" w:cs="Calibri"/>
                <w:sz w:val="20"/>
                <w:szCs w:val="20"/>
              </w:rPr>
              <w:t>office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(</w:t>
            </w:r>
            <w:proofErr w:type="gramEnd"/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D91E5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0.23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C034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0.04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465B5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89ED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0.39</w:t>
            </w:r>
          </w:p>
        </w:tc>
        <w:tc>
          <w:tcPr>
            <w:tcW w:w="505" w:type="pct"/>
            <w:vMerge/>
            <w:tcBorders>
              <w:left w:val="nil"/>
              <w:right w:val="nil"/>
            </w:tcBorders>
            <w:vAlign w:val="center"/>
          </w:tcPr>
          <w:p w14:paraId="474E1347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</w:tr>
      <w:tr w:rsidR="00F3315A" w:rsidRPr="00F3315A" w14:paraId="0541A19F" w14:textId="77777777" w:rsidTr="00E55E27">
        <w:trPr>
          <w:jc w:val="center"/>
        </w:trPr>
        <w:tc>
          <w:tcPr>
            <w:tcW w:w="244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8CB82A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U</w:t>
            </w:r>
            <w:r w:rsidRPr="00F3315A">
              <w:rPr>
                <w:rFonts w:ascii="Calibri" w:eastAsia="DengXian" w:hAnsi="Calibri" w:cs="Calibri"/>
                <w:sz w:val="20"/>
                <w:szCs w:val="20"/>
              </w:rPr>
              <w:t xml:space="preserve">sual residents who take bicycles to </w:t>
            </w:r>
            <w:proofErr w:type="gramStart"/>
            <w:r w:rsidRPr="00F3315A">
              <w:rPr>
                <w:rFonts w:ascii="Calibri" w:eastAsia="DengXian" w:hAnsi="Calibri" w:cs="Calibri"/>
                <w:sz w:val="20"/>
                <w:szCs w:val="20"/>
              </w:rPr>
              <w:t>work</w:t>
            </w:r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(</w:t>
            </w:r>
            <w:proofErr w:type="gramEnd"/>
            <w:r w:rsidRPr="00F3315A">
              <w:rPr>
                <w:rFonts w:ascii="Calibri" w:eastAsia="DengXian" w:hAnsi="Calibri" w:cs="Calibri" w:hint="eastAsia"/>
                <w:sz w:val="20"/>
                <w:szCs w:val="20"/>
              </w:rPr>
              <w:t>%)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1EFE9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0.38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DD9084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0.26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DEDBF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0.11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969168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  <w:r w:rsidRPr="00F3315A">
              <w:rPr>
                <w:rFonts w:ascii="Calibri" w:eastAsia="SimSun" w:hAnsi="Calibri" w:cs="Calibri"/>
                <w:sz w:val="20"/>
                <w:szCs w:val="20"/>
              </w:rPr>
              <w:t>1.00</w:t>
            </w:r>
          </w:p>
        </w:tc>
        <w:tc>
          <w:tcPr>
            <w:tcW w:w="505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054EE2A" w14:textId="77777777" w:rsidR="00F3315A" w:rsidRPr="00F3315A" w:rsidRDefault="00F3315A" w:rsidP="00E55E27">
            <w:pPr>
              <w:spacing w:before="240"/>
              <w:rPr>
                <w:rFonts w:ascii="Calibri" w:eastAsia="DengXian" w:hAnsi="Calibri" w:cs="Calibri"/>
                <w:sz w:val="20"/>
                <w:szCs w:val="20"/>
              </w:rPr>
            </w:pPr>
          </w:p>
        </w:tc>
      </w:tr>
    </w:tbl>
    <w:p w14:paraId="41E1F4A7" w14:textId="77777777" w:rsidR="00F3315A" w:rsidRPr="000A1FD8" w:rsidRDefault="00F3315A" w:rsidP="00F3315A">
      <w:pPr>
        <w:spacing w:before="240" w:after="240" w:line="259" w:lineRule="auto"/>
        <w:rPr>
          <w:rFonts w:ascii="Calibri" w:hAnsi="Calibri" w:cs="Calibri"/>
          <w:color w:val="0D0D0D"/>
          <w:szCs w:val="21"/>
          <w:shd w:val="clear" w:color="auto" w:fill="FFFFFF"/>
        </w:rPr>
      </w:pPr>
      <w:r w:rsidRPr="00F3315A">
        <w:rPr>
          <w:rFonts w:ascii="Calibri" w:hAnsi="Calibri" w:cs="Calibri"/>
          <w:szCs w:val="21"/>
          <w:shd w:val="clear" w:color="auto" w:fill="FFFFFF"/>
        </w:rPr>
        <w:t xml:space="preserve">* </w:t>
      </w:r>
      <w:r w:rsidRPr="00F3315A">
        <w:rPr>
          <w:rFonts w:ascii="Calibri" w:hAnsi="Calibri" w:cs="Calibri" w:hint="eastAsia"/>
          <w:szCs w:val="21"/>
          <w:shd w:val="clear" w:color="auto" w:fill="FFFFFF"/>
        </w:rPr>
        <w:t xml:space="preserve">For POI </w:t>
      </w:r>
      <w:r w:rsidRPr="00F3315A">
        <w:rPr>
          <w:rFonts w:ascii="Calibri" w:hAnsi="Calibri" w:cs="Calibri"/>
          <w:szCs w:val="21"/>
          <w:shd w:val="clear" w:color="auto" w:fill="FFFFFF"/>
        </w:rPr>
        <w:t>Entropy</w:t>
      </w:r>
      <w:r w:rsidRPr="00F3315A">
        <w:rPr>
          <w:rFonts w:ascii="Calibri" w:hAnsi="Calibri" w:cs="Calibri" w:hint="eastAsia"/>
          <w:szCs w:val="21"/>
          <w:shd w:val="clear" w:color="auto" w:fill="FFFFFF"/>
        </w:rPr>
        <w:t xml:space="preserve">, </w:t>
      </w:r>
      <w:proofErr w:type="gramStart"/>
      <w:r w:rsidRPr="00F3315A">
        <w:rPr>
          <w:rFonts w:ascii="Calibri" w:eastAsia="DengXian" w:hAnsi="Calibri" w:cs="Calibri"/>
          <w:i/>
          <w:szCs w:val="21"/>
        </w:rPr>
        <w:t xml:space="preserve">n  </w:t>
      </w:r>
      <w:r w:rsidRPr="00F3315A">
        <w:rPr>
          <w:rFonts w:ascii="Calibri" w:hAnsi="Calibri" w:cs="Calibri"/>
          <w:szCs w:val="21"/>
          <w:shd w:val="clear" w:color="auto" w:fill="FFFFFF"/>
        </w:rPr>
        <w:t>represents</w:t>
      </w:r>
      <w:proofErr w:type="gramEnd"/>
      <w:r w:rsidRPr="00F3315A">
        <w:rPr>
          <w:rFonts w:ascii="Calibri" w:hAnsi="Calibri" w:cs="Calibri"/>
          <w:szCs w:val="21"/>
          <w:shd w:val="clear" w:color="auto" w:fill="FFFFFF"/>
        </w:rPr>
        <w:t xml:space="preserve"> the number of POI categories, and</w:t>
      </w:r>
      <m:oMath>
        <m:r>
          <w:rPr>
            <w:rFonts w:ascii="Cambria Math" w:hAnsi="Cambria Math" w:cs="Calibri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DengXian" w:hAnsi="Cambria Math" w:cs="Calibri"/>
                <w:i/>
                <w:szCs w:val="21"/>
              </w:rPr>
            </m:ctrlPr>
          </m:sSubPr>
          <m:e>
            <m:r>
              <w:rPr>
                <w:rFonts w:ascii="Cambria Math" w:eastAsia="DengXian" w:hAnsi="Cambria Math" w:cs="Calibri"/>
                <w:szCs w:val="21"/>
              </w:rPr>
              <m:t>p</m:t>
            </m:r>
          </m:e>
          <m:sub>
            <m:r>
              <w:rPr>
                <w:rFonts w:ascii="Cambria Math" w:eastAsia="DengXian" w:hAnsi="Cambria Math" w:cs="Calibri"/>
                <w:szCs w:val="21"/>
              </w:rPr>
              <m:t>i</m:t>
            </m:r>
          </m:sub>
        </m:sSub>
      </m:oMath>
      <w:r w:rsidRPr="00F3315A">
        <w:rPr>
          <w:rFonts w:ascii="Calibri" w:hAnsi="Calibri" w:cs="Calibri"/>
          <w:szCs w:val="21"/>
          <w:shd w:val="clear" w:color="auto" w:fill="FFFFFF"/>
        </w:rPr>
        <w:t xml:space="preserve"> is the proportion of the</w:t>
      </w:r>
      <w:r w:rsidRPr="000A1FD8">
        <w:rPr>
          <w:rFonts w:ascii="Calibri" w:hAnsi="Calibri" w:cs="Calibri" w:hint="eastAsia"/>
          <w:color w:val="0D0D0D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0D0D0D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0D0D0D"/>
                <w:szCs w:val="21"/>
                <w:shd w:val="clear" w:color="auto" w:fill="FFFFFF"/>
              </w:rPr>
              <m:t>i</m:t>
            </m:r>
          </m:e>
          <m:sup>
            <m:r>
              <w:rPr>
                <w:rFonts w:ascii="Cambria Math" w:hAnsi="Cambria Math" w:cs="Calibri"/>
                <w:color w:val="0D0D0D"/>
                <w:szCs w:val="21"/>
                <w:shd w:val="clear" w:color="auto" w:fill="FFFFFF"/>
              </w:rPr>
              <m:t>th</m:t>
            </m:r>
          </m:sup>
        </m:sSup>
      </m:oMath>
      <w:r w:rsidRPr="000A1FD8">
        <w:rPr>
          <w:rFonts w:ascii="Calibri" w:hAnsi="Calibri" w:cs="Calibri" w:hint="eastAsia"/>
          <w:color w:val="0D0D0D"/>
          <w:szCs w:val="21"/>
          <w:shd w:val="clear" w:color="auto" w:fill="FFFFFF"/>
        </w:rPr>
        <w:t xml:space="preserve"> 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 xml:space="preserve">location category. The </w:t>
      </w:r>
      <w:r w:rsidRPr="000A1FD8">
        <w:rPr>
          <w:rStyle w:val="katex-mathml"/>
          <w:rFonts w:ascii="Calibri" w:hAnsi="Calibri" w:cs="Calibri"/>
          <w:color w:val="0D0D0D"/>
          <w:szCs w:val="21"/>
          <w:bdr w:val="none" w:sz="0" w:space="0" w:color="auto" w:frame="1"/>
          <w:shd w:val="clear" w:color="auto" w:fill="FFFFFF"/>
        </w:rPr>
        <w:t xml:space="preserve">log 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>functio</w:t>
      </w:r>
      <w:r w:rsidRPr="000A1FD8">
        <w:rPr>
          <w:rFonts w:ascii="Calibri" w:hAnsi="Calibri" w:cs="Calibri" w:hint="eastAsia"/>
          <w:color w:val="0D0D0D"/>
          <w:szCs w:val="21"/>
          <w:shd w:val="clear" w:color="auto" w:fill="FFFFFF"/>
        </w:rPr>
        <w:t xml:space="preserve">n 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>based</w:t>
      </w:r>
      <w:r w:rsidRPr="000A1FD8">
        <w:rPr>
          <w:rFonts w:ascii="Calibri" w:hAnsi="Calibri" w:cs="Calibri" w:hint="eastAsia"/>
          <w:color w:val="0D0D0D"/>
          <w:szCs w:val="21"/>
          <w:shd w:val="clear" w:color="auto" w:fill="FFFFFF"/>
        </w:rPr>
        <w:t xml:space="preserve"> 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>natural logarithm.</w:t>
      </w:r>
      <w:r w:rsidRPr="000A1FD8">
        <w:rPr>
          <w:rFonts w:ascii="Segoe UI" w:hAnsi="Segoe UI" w:cs="Segoe UI"/>
          <w:color w:val="0D0D0D"/>
          <w:szCs w:val="21"/>
          <w:shd w:val="clear" w:color="auto" w:fill="FFFFFF"/>
        </w:rPr>
        <w:t xml:space="preserve"> 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>A higher value</w:t>
      </w:r>
      <w:r w:rsidRPr="000A1FD8">
        <w:rPr>
          <w:rFonts w:ascii="Calibri" w:hAnsi="Calibri" w:cs="Calibri" w:hint="eastAsia"/>
          <w:color w:val="0D0D0D"/>
          <w:szCs w:val="21"/>
          <w:shd w:val="clear" w:color="auto" w:fill="FFFFFF"/>
        </w:rPr>
        <w:t xml:space="preserve"> of H</w:t>
      </w:r>
      <w:r w:rsidRPr="000A1FD8">
        <w:rPr>
          <w:rFonts w:ascii="Calibri" w:hAnsi="Calibri" w:cs="Calibri"/>
          <w:color w:val="0D0D0D"/>
          <w:szCs w:val="21"/>
          <w:shd w:val="clear" w:color="auto" w:fill="FFFFFF"/>
        </w:rPr>
        <w:t xml:space="preserve"> indicates greater diversity or a more even distribution of locations.</w:t>
      </w:r>
      <w:r w:rsidRPr="000A1FD8">
        <w:rPr>
          <w:sz w:val="24"/>
          <w:szCs w:val="24"/>
        </w:rPr>
        <w:t xml:space="preserve"> </w:t>
      </w:r>
    </w:p>
    <w:p w14:paraId="147384BC" w14:textId="77777777" w:rsidR="00F3315A" w:rsidRDefault="00F3315A" w:rsidP="00F3315A">
      <w:pPr>
        <w:spacing w:before="240" w:after="240" w:line="259" w:lineRule="auto"/>
        <w:rPr>
          <w:rFonts w:ascii="Calibri" w:eastAsia="SimSun" w:hAnsi="Calibri" w:cs="Calibri"/>
          <w:color w:val="000000"/>
          <w:szCs w:val="21"/>
        </w:rPr>
      </w:pPr>
      <w:r w:rsidRPr="000A1FD8">
        <w:rPr>
          <w:rFonts w:ascii="Calibri" w:eastAsia="DengXian" w:hAnsi="Calibri" w:cs="Calibri"/>
          <w:szCs w:val="21"/>
        </w:rPr>
        <w:t>Note: All land-use data was calculated within the</w:t>
      </w:r>
      <w:r w:rsidRPr="000A1FD8">
        <w:rPr>
          <w:rFonts w:ascii="Calibri" w:eastAsia="DengXian" w:hAnsi="Calibri" w:cs="Calibri" w:hint="eastAsia"/>
          <w:szCs w:val="21"/>
        </w:rPr>
        <w:t xml:space="preserve"> </w:t>
      </w:r>
      <w:proofErr w:type="spellStart"/>
      <w:r w:rsidRPr="000A1FD8">
        <w:rPr>
          <w:rFonts w:ascii="Calibri" w:eastAsia="DengXian" w:hAnsi="Calibri" w:cs="Calibri" w:hint="eastAsia"/>
          <w:szCs w:val="21"/>
        </w:rPr>
        <w:t>Voroini</w:t>
      </w:r>
      <w:proofErr w:type="spellEnd"/>
      <w:r w:rsidRPr="000A1FD8">
        <w:rPr>
          <w:rFonts w:ascii="Calibri" w:eastAsia="DengXian" w:hAnsi="Calibri" w:cs="Calibri" w:hint="eastAsia"/>
          <w:szCs w:val="21"/>
        </w:rPr>
        <w:t xml:space="preserve"> polygon around</w:t>
      </w:r>
      <w:r w:rsidRPr="000A1FD8">
        <w:rPr>
          <w:rFonts w:ascii="Calibri" w:eastAsia="DengXian" w:hAnsi="Calibri" w:cs="Calibri"/>
          <w:szCs w:val="21"/>
        </w:rPr>
        <w:t xml:space="preserve"> each docking point; Road density was derived by the </w:t>
      </w:r>
      <w:r w:rsidRPr="000A1FD8">
        <w:rPr>
          <w:rFonts w:ascii="Calibri" w:eastAsia="DengXian" w:hAnsi="Calibri" w:cs="Calibri" w:hint="eastAsia"/>
          <w:szCs w:val="21"/>
        </w:rPr>
        <w:t xml:space="preserve">average </w:t>
      </w:r>
      <w:r w:rsidRPr="000A1FD8">
        <w:rPr>
          <w:rFonts w:ascii="Calibri" w:eastAsia="DengXian" w:hAnsi="Calibri" w:cs="Calibri"/>
          <w:szCs w:val="21"/>
        </w:rPr>
        <w:t>lengths of all road segments</w:t>
      </w:r>
      <w:r w:rsidRPr="000A1FD8">
        <w:rPr>
          <w:rFonts w:ascii="Calibri" w:eastAsia="DengXian" w:hAnsi="Calibri" w:cs="Calibri" w:hint="eastAsia"/>
          <w:szCs w:val="21"/>
        </w:rPr>
        <w:t xml:space="preserve"> within each station influence </w:t>
      </w:r>
      <w:proofErr w:type="gramStart"/>
      <w:r w:rsidRPr="000A1FD8">
        <w:rPr>
          <w:rFonts w:ascii="Calibri" w:eastAsia="DengXian" w:hAnsi="Calibri" w:cs="Calibri" w:hint="eastAsia"/>
          <w:szCs w:val="21"/>
        </w:rPr>
        <w:t xml:space="preserve">area </w:t>
      </w:r>
      <w:r w:rsidRPr="000A1FD8">
        <w:rPr>
          <w:rFonts w:ascii="Calibri" w:eastAsia="DengXian" w:hAnsi="Calibri" w:cs="Calibri"/>
          <w:szCs w:val="21"/>
        </w:rPr>
        <w:t>.</w:t>
      </w:r>
      <w:proofErr w:type="gramEnd"/>
      <w:r w:rsidRPr="000A1FD8">
        <w:rPr>
          <w:rStyle w:val="a3"/>
          <w:sz w:val="22"/>
        </w:rPr>
        <w:t xml:space="preserve"> </w:t>
      </w:r>
      <w:bookmarkStart w:id="0" w:name="_Hlk175909757"/>
    </w:p>
    <w:bookmarkEnd w:id="0"/>
    <w:p w14:paraId="0F2C93C2" w14:textId="77777777" w:rsidR="00F3315A" w:rsidRPr="00F3315A" w:rsidRDefault="00F3315A">
      <w:pPr>
        <w:rPr>
          <w:rFonts w:hint="eastAsia"/>
        </w:rPr>
      </w:pPr>
    </w:p>
    <w:sectPr w:rsidR="00F3315A" w:rsidRPr="00F331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5A"/>
    <w:rsid w:val="005A541E"/>
    <w:rsid w:val="00F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91DE"/>
  <w15:chartTrackingRefBased/>
  <w15:docId w15:val="{478A23E4-063F-4516-A32E-531F97B8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3315A"/>
    <w:rPr>
      <w:sz w:val="21"/>
      <w:szCs w:val="21"/>
    </w:rPr>
  </w:style>
  <w:style w:type="character" w:styleId="a4">
    <w:name w:val="Hyperlink"/>
    <w:basedOn w:val="a0"/>
    <w:uiPriority w:val="99"/>
    <w:rsid w:val="00F3315A"/>
    <w:rPr>
      <w:color w:val="0000FF"/>
      <w:u w:val="single"/>
    </w:rPr>
  </w:style>
  <w:style w:type="character" w:customStyle="1" w:styleId="katex-mathml">
    <w:name w:val="katex-mathml"/>
    <w:basedOn w:val="a0"/>
    <w:rsid w:val="00F3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london.gov.uk/census/2021-ward-and-lsoa-estim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map.edina.ac.uk" TargetMode="External"/><Relationship Id="rId5" Type="http://schemas.openxmlformats.org/officeDocument/2006/relationships/hyperlink" Target="https://www.bing.com/ck/a?!&amp;&amp;p=91f5b8a20e265c14JmltdHM9MTcyNDg4OTYwMCZpZ3VpZD0xMGQxNWFiNy0wZmFiLTYwZTgtMjRkZi00YjU4MGVjZDYxNzYmaW5zaWQ9NTIwMw&amp;ptn=3&amp;ver=2&amp;hsh=3&amp;fclid=10d15ab7-0fab-60e8-24df-4b580ecd6176&amp;psq=Consumer+Data+Research+Centre+(CDRC)+Open+Data+imd&amp;u=a1aHR0cHM6Ly9kYXRhLmNkcmMuYWMudWsvZGF0YXNldC9pbmRleC1tdWx0aXBsZS1kZXByaXZhdGlvbi1pbWQ&amp;ntb=1" TargetMode="External"/><Relationship Id="rId4" Type="http://schemas.openxmlformats.org/officeDocument/2006/relationships/hyperlink" Target="https://cycling.data.tfl.gov.u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yunxin deng</dc:creator>
  <cp:keywords/>
  <dc:description/>
  <cp:lastModifiedBy>yunxin deng</cp:lastModifiedBy>
  <cp:revision>1</cp:revision>
  <dcterms:created xsi:type="dcterms:W3CDTF">2024-10-31T09:48:00Z</dcterms:created>
  <dcterms:modified xsi:type="dcterms:W3CDTF">2024-10-31T09:50:00Z</dcterms:modified>
</cp:coreProperties>
</file>