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pop7104-project-proposal"/>
    <w:p>
      <w:pPr>
        <w:pStyle w:val="Heading1"/>
      </w:pPr>
      <w:r>
        <w:t xml:space="preserve">MPOP7104 Project Proposal</w:t>
      </w:r>
    </w:p>
    <w:bookmarkStart w:id="9" w:name="Xce929c66f3a045bfed833388811b887f7b24085"/>
    <w:p>
      <w:pPr>
        <w:pStyle w:val="Heading2"/>
      </w:pPr>
      <w:r>
        <w:t xml:space="preserve">Urban Livability and Pet Infrastructure: A Global Analysis of Dog Park Accessibility, Population Aging, and Environmental Indicators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MPOP7104, The University of Hong Kong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Rapid urbanization and population aging are reshaping cities worldwide. As more people live in dense urban environments and societies grow older, the demand for accessible public amenities — including green spaces and recreational facilities — continues to rise. Among these, dog parks represent a niche but revealing indicator of how cities accommodate diverse resident needs, including those of aging populations who benefit from pet companionship and outdoor activity.</w:t>
      </w:r>
    </w:p>
    <w:p>
      <w:pPr>
        <w:pStyle w:val="BodyText"/>
      </w:pPr>
      <w:r>
        <w:t xml:space="preserve">This project takes a cross-national approach to examining urban livability through two complementary lenses: (1) the global provision of dog parks as pet-specific urban infrastructure, and (2) broader population, health, and environmental indicators that shape the context in which such infrastructure is provided.</w:t>
      </w:r>
    </w:p>
    <w:bookmarkEnd w:id="10"/>
    <w:bookmarkStart w:id="11" w:name="research-questions"/>
    <w:p>
      <w:pPr>
        <w:pStyle w:val="Heading2"/>
      </w:pPr>
      <w:r>
        <w:t xml:space="preserve">Research Questions</w:t>
      </w:r>
    </w:p>
    <w:p>
      <w:pPr>
        <w:pStyle w:val="Compact"/>
        <w:numPr>
          <w:ilvl w:val="0"/>
          <w:numId w:val="1001"/>
        </w:numPr>
      </w:pPr>
      <w:r>
        <w:t xml:space="preserve">How does dog park provision vary across 96 countries and world regions, and what does the global distribution look like?</w:t>
      </w:r>
    </w:p>
    <w:p>
      <w:pPr>
        <w:pStyle w:val="Compact"/>
        <w:numPr>
          <w:ilvl w:val="0"/>
          <w:numId w:val="1001"/>
        </w:numPr>
      </w:pPr>
      <w:r>
        <w:t xml:space="preserve">How do demographic factors — particularly population aging (elderly ratio, aging index, dependency ratio) — relate to dog park accessibility?</w:t>
      </w:r>
    </w:p>
    <w:p>
      <w:pPr>
        <w:pStyle w:val="Compact"/>
        <w:numPr>
          <w:ilvl w:val="0"/>
          <w:numId w:val="1001"/>
        </w:numPr>
      </w:pPr>
      <w:r>
        <w:t xml:space="preserve">What role do economic development, health infrastructure, and environmental conditions play in explaining cross-national differences?</w:t>
      </w:r>
    </w:p>
    <w:p>
      <w:pPr>
        <w:pStyle w:val="Compact"/>
        <w:numPr>
          <w:ilvl w:val="0"/>
          <w:numId w:val="1001"/>
        </w:numPr>
      </w:pPr>
      <w:r>
        <w:t xml:space="preserve">Can countries be meaningfully grouped into clusters based on their combined demographic, environmental, and pet infrastructure profiles?</w:t>
      </w:r>
    </w:p>
    <w:bookmarkEnd w:id="11"/>
    <w:bookmarkStart w:id="12" w:name="data-and-methods"/>
    <w:p>
      <w:pPr>
        <w:pStyle w:val="Heading2"/>
      </w:pPr>
      <w:r>
        <w:t xml:space="preserve">Data and Methods</w:t>
      </w:r>
    </w:p>
    <w:p>
      <w:pPr>
        <w:pStyle w:val="FirstParagraph"/>
      </w:pPr>
      <w:r>
        <w:rPr>
          <w:b/>
          <w:bCs/>
        </w:rPr>
        <w:t xml:space="preserve">Dog park data.</w:t>
      </w:r>
      <w:r>
        <w:t xml:space="preserve"> </w:t>
      </w:r>
      <w:r>
        <w:t xml:space="preserve">We queried all</w:t>
      </w:r>
      <w:r>
        <w:t xml:space="preserve"> </w:t>
      </w:r>
      <w:r>
        <w:rPr>
          <w:rStyle w:val="VerbatimChar"/>
        </w:rPr>
        <w:t xml:space="preserve">leisure=dog_park</w:t>
      </w:r>
      <w:r>
        <w:t xml:space="preserve"> </w:t>
      </w:r>
      <w:r>
        <w:t xml:space="preserve">features from OpenStreetMap via the Overpass API for 195 countries. This produced 17,159 individual dog parks across 96 countries. The primary metric is parks per 100,000 population.</w:t>
      </w:r>
    </w:p>
    <w:p>
      <w:pPr>
        <w:pStyle w:val="BodyText"/>
      </w:pPr>
      <w:r>
        <w:rPr>
          <w:b/>
          <w:bCs/>
        </w:rPr>
        <w:t xml:space="preserve">Socioeconomic and demographic indicators.</w:t>
      </w:r>
      <w:r>
        <w:t xml:space="preserve"> </w:t>
      </w:r>
      <w:r>
        <w:t xml:space="preserve">We retrieved 18 indicators from the World Bank API spanning five domains: (1) demographics — population, growth rate, urbanization, density; (2) age structure — elderly ratio (65+%), youth ratio (0–14%), life expectancy, death rate; (3) health — under-5 mortality, health expenditure per capita, hospital beds; (4) environment — forest cover, agricultural land, CO₂ emissions per capita; (5) economy — GDP per capita, GINI index. From these we derived several composite measures including an aging index (elderly-to-youth ratio), a health score, a green environment score, and an overall livability index.</w:t>
      </w:r>
    </w:p>
    <w:p>
      <w:pPr>
        <w:pStyle w:val="BodyText"/>
      </w:pPr>
      <w:r>
        <w:rPr>
          <w:b/>
          <w:bCs/>
        </w:rPr>
        <w:t xml:space="preserve">Analysis pipeline.</w:t>
      </w:r>
      <w:r>
        <w:t xml:space="preserve"> </w:t>
      </w:r>
      <w:r>
        <w:t xml:space="preserve">The analysis consists of six modules run in R and Python:</w:t>
      </w:r>
    </w:p>
    <w:p>
      <w:pPr>
        <w:pStyle w:val="Compact"/>
        <w:numPr>
          <w:ilvl w:val="0"/>
          <w:numId w:val="1002"/>
        </w:numPr>
      </w:pPr>
      <w:r>
        <w:t xml:space="preserve">Exploratory analysis of global distributions across both park metrics and demographic/environmental variables</w:t>
      </w:r>
    </w:p>
    <w:p>
      <w:pPr>
        <w:pStyle w:val="Compact"/>
        <w:numPr>
          <w:ilvl w:val="0"/>
          <w:numId w:val="1002"/>
        </w:numPr>
      </w:pPr>
      <w:r>
        <w:t xml:space="preserve">Regional comparison across 8 World Bank regions, with within-region inequality measured by Gini coefficients</w:t>
      </w:r>
    </w:p>
    <w:p>
      <w:pPr>
        <w:pStyle w:val="Compact"/>
        <w:numPr>
          <w:ilvl w:val="0"/>
          <w:numId w:val="1002"/>
        </w:numPr>
      </w:pPr>
      <w:r>
        <w:t xml:space="preserve">A composite global ranking incorporating park density, urbanization, health, and economic indicators</w:t>
      </w:r>
    </w:p>
    <w:p>
      <w:pPr>
        <w:pStyle w:val="Compact"/>
        <w:numPr>
          <w:ilvl w:val="0"/>
          <w:numId w:val="1002"/>
        </w:numPr>
      </w:pPr>
      <w:r>
        <w:t xml:space="preserve">K-means clustering (k=4) to identify country peer groups with shared characteristics</w:t>
      </w:r>
    </w:p>
    <w:p>
      <w:pPr>
        <w:pStyle w:val="Compact"/>
        <w:numPr>
          <w:ilvl w:val="0"/>
          <w:numId w:val="1002"/>
        </w:numPr>
      </w:pPr>
      <w:r>
        <w:t xml:space="preserve">An interactive HTML dashboard with maps and charts for data exploration</w:t>
      </w:r>
    </w:p>
    <w:bookmarkEnd w:id="12"/>
    <w:bookmarkStart w:id="13" w:name="preliminary-results"/>
    <w:p>
      <w:pPr>
        <w:pStyle w:val="Heading2"/>
      </w:pPr>
      <w:r>
        <w:t xml:space="preserve">Preliminary Results</w:t>
      </w:r>
    </w:p>
    <w:p>
      <w:pPr>
        <w:pStyle w:val="FirstParagraph"/>
      </w:pPr>
      <w:r>
        <w:t xml:space="preserve">The global distribution of dog parks is extremely unequal: the median country has just 0.23 parks per 100k, while the top country (Denmark) has 8.84. Europe accounts for nearly 80% of all recorded dog parks. Four distinct clusters emerged — Leaders (16 countries, mostly high-income European), Developing (8 small wealthy states), Transitioning (31 mid-range), and Emerging (41 countries with near-zero provision). Among the World Bank indicators, countries with higher aging indices and greater health expenditure tend to have more developed pet infrastructure, though the relationship is not purely economic — Japan and the UK, both wealthy and aging, have surprisingly low dog park provision, suggesting cultural and planning factors also matter.</w:t>
      </w:r>
    </w:p>
    <w:bookmarkEnd w:id="13"/>
    <w:bookmarkStart w:id="1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OpenStreetMap coverage varies by region; dog parks in less-mapped areas (Sub-Saharan Africa, parts of Asia) are likely underreported. The study is cross-sectional and cannot capture temporal trends. Some World Bank indicators have missing values for smaller territories.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2026-04-19T12:25:15Z</dcterms:created>
  <dcterms:modified xsi:type="dcterms:W3CDTF">2026-04-19T12:25:15Z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