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E1BBA">
      <w:pPr>
        <w:spacing w:line="480" w:lineRule="auto"/>
        <w:jc w:val="left"/>
        <w:rPr>
          <w:rFonts w:hint="default" w:ascii="Times New Roman" w:hAnsi="Times New Roman" w:cs="Times New Roman" w:eastAsiaTheme="minorEastAsia"/>
          <w:b/>
          <w:bCs/>
          <w:color w:val="auto"/>
          <w:sz w:val="24"/>
          <w:lang w:eastAsia="zh-CN"/>
        </w:rPr>
      </w:pPr>
      <w:bookmarkStart w:id="2" w:name="_GoBack"/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lang w:eastAsia="zh-CN"/>
        </w:rPr>
        <w:drawing>
          <wp:inline distT="0" distB="0" distL="114300" distR="114300">
            <wp:extent cx="5271770" cy="2303780"/>
            <wp:effectExtent l="0" t="0" r="5080" b="1270"/>
            <wp:docPr id="5" name="图片 5" descr="Fig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611D">
      <w:pPr>
        <w:spacing w:line="480" w:lineRule="auto"/>
        <w:rPr>
          <w:rFonts w:hint="default" w:ascii="Times New Roman" w:hAnsi="Times New Roman" w:cs="Times New Roman" w:eastAsiaTheme="minorEastAsia"/>
          <w:color w:val="auto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</w:rPr>
        <w:t>Figure</w:t>
      </w:r>
      <w:r>
        <w:rPr>
          <w:rFonts w:hint="default" w:ascii="Times New Roman" w:hAnsi="Times New Roman" w:cs="Times New Roman"/>
          <w:b/>
          <w:bCs/>
          <w:color w:val="auto"/>
          <w:sz w:val="24"/>
          <w:lang w:val="en-US" w:eastAsia="zh-CN"/>
        </w:rPr>
        <w:t xml:space="preserve"> 3</w:t>
      </w:r>
      <w:r>
        <w:rPr>
          <w:rFonts w:hint="default" w:ascii="Times New Roman" w:hAnsi="Times New Roman" w:cs="Times New Roman"/>
          <w:b/>
          <w:bCs/>
          <w:color w:val="auto"/>
          <w:sz w:val="24"/>
        </w:rPr>
        <w:t>.</w:t>
      </w:r>
      <w:r>
        <w:rPr>
          <w:rFonts w:hint="default" w:ascii="Times New Roman" w:hAnsi="Times New Roman" w:cs="Times New Roman"/>
          <w:color w:val="auto"/>
          <w:sz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</w:rPr>
        <w:t>Spearman correlation analysis examining the relationship between the expression of plasma extracellular vesicle (EV)-derived mitochondrial DNA (</w:t>
      </w:r>
      <w:r>
        <w:rPr>
          <w:rFonts w:hint="default" w:ascii="Times New Roman" w:hAnsi="Times New Roman" w:cs="Times New Roman"/>
          <w:b/>
          <w:bCs/>
          <w:color w:val="auto"/>
          <w:sz w:val="24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:</w:t>
      </w:r>
      <w:r>
        <w:rPr>
          <w:rFonts w:hint="default" w:ascii="Times New Roman" w:hAnsi="Times New Roman" w:cs="Times New Roman"/>
          <w:i/>
          <w:iCs/>
          <w:color w:val="auto"/>
          <w:sz w:val="24"/>
          <w:lang w:val="en-US" w:eastAsia="zh-CN"/>
        </w:rPr>
        <w:t>ND1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4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:</w:t>
      </w:r>
      <w:r>
        <w:rPr>
          <w:rFonts w:hint="default" w:ascii="Times New Roman" w:hAnsi="Times New Roman" w:cs="Times New Roman"/>
          <w:i/>
          <w:iCs/>
          <w:color w:val="auto"/>
          <w:sz w:val="24"/>
        </w:rPr>
        <w:t xml:space="preserve">D-LOOP, </w:t>
      </w:r>
      <w:r>
        <w:rPr>
          <w:rFonts w:hint="default" w:ascii="Times New Roman" w:hAnsi="Times New Roman" w:cs="Times New Roman"/>
          <w:color w:val="auto"/>
          <w:sz w:val="24"/>
        </w:rPr>
        <w:t>and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lang w:val="en-US" w:eastAsia="zh-CN"/>
        </w:rPr>
        <w:t>C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lang w:val="en-US" w:eastAsia="zh-CN"/>
        </w:rPr>
        <w:t>:</w:t>
      </w:r>
      <w:r>
        <w:rPr>
          <w:rFonts w:hint="default" w:ascii="Times New Roman" w:hAnsi="Times New Roman" w:cs="Times New Roman"/>
          <w:i/>
          <w:iCs/>
          <w:color w:val="auto"/>
          <w:sz w:val="24"/>
        </w:rPr>
        <w:t>COX3</w:t>
      </w:r>
      <w:r>
        <w:rPr>
          <w:rFonts w:hint="default" w:ascii="Times New Roman" w:hAnsi="Times New Roman" w:cs="Times New Roman"/>
          <w:color w:val="auto"/>
          <w:sz w:val="24"/>
        </w:rPr>
        <w:t xml:space="preserve">) and </w:t>
      </w:r>
      <w:r>
        <w:rPr>
          <w:rFonts w:hint="default" w:ascii="Times New Roman" w:hAnsi="Times New Roman" w:eastAsia="宋体" w:cs="Times New Roman"/>
          <w:bCs/>
          <w:color w:val="auto"/>
          <w:kern w:val="0"/>
          <w:sz w:val="24"/>
          <w:lang w:bidi="ar"/>
        </w:rPr>
        <w:t xml:space="preserve">plasma biomarkers related to brain aging, including </w:t>
      </w:r>
      <w:r>
        <w:rPr>
          <w:rFonts w:hint="default" w:ascii="Times New Roman" w:hAnsi="Times New Roman" w:cs="Times New Roman"/>
          <w:bCs/>
          <w:color w:val="auto"/>
          <w:kern w:val="0"/>
          <w:sz w:val="24"/>
          <w:lang w:bidi="ar"/>
        </w:rPr>
        <w:t>amyloid-beta 40 (Aβ40; pg/ml)</w:t>
      </w:r>
      <w:r>
        <w:rPr>
          <w:rFonts w:hint="default" w:ascii="Times New Roman" w:hAnsi="Times New Roman" w:cs="Times New Roman"/>
          <w:color w:val="auto"/>
          <w:sz w:val="24"/>
        </w:rPr>
        <w:t xml:space="preserve">, </w:t>
      </w:r>
      <w:r>
        <w:rPr>
          <w:rFonts w:hint="default" w:ascii="Times New Roman" w:hAnsi="Times New Roman" w:cs="Times New Roman"/>
          <w:bCs/>
          <w:color w:val="auto"/>
          <w:kern w:val="0"/>
          <w:sz w:val="24"/>
          <w:lang w:bidi="ar"/>
        </w:rPr>
        <w:t>ratio of Aβ42 to Aβ40</w:t>
      </w:r>
      <w:r>
        <w:rPr>
          <w:rFonts w:hint="default" w:ascii="Times New Roman" w:hAnsi="Times New Roman" w:cs="Times New Roman"/>
          <w:color w:val="auto"/>
          <w:sz w:val="24"/>
        </w:rPr>
        <w:t xml:space="preserve">, </w:t>
      </w:r>
      <w:r>
        <w:rPr>
          <w:rFonts w:hint="default" w:ascii="Times New Roman" w:hAnsi="Times New Roman" w:cs="Times New Roman"/>
          <w:bCs/>
          <w:color w:val="auto"/>
          <w:kern w:val="0"/>
          <w:sz w:val="24"/>
          <w:lang w:bidi="ar"/>
        </w:rPr>
        <w:t>amyloid-beta 42 (Aβ42; pg/ml)</w:t>
      </w:r>
      <w:r>
        <w:rPr>
          <w:rFonts w:hint="default" w:ascii="Times New Roman" w:hAnsi="Times New Roman" w:cs="Times New Roman"/>
          <w:color w:val="auto"/>
          <w:sz w:val="24"/>
        </w:rPr>
        <w:t xml:space="preserve">, </w:t>
      </w:r>
      <w:r>
        <w:rPr>
          <w:rFonts w:hint="default" w:ascii="Times New Roman" w:hAnsi="Times New Roman" w:cs="Times New Roman"/>
          <w:bCs/>
          <w:color w:val="auto"/>
          <w:kern w:val="0"/>
          <w:sz w:val="24"/>
          <w:lang w:bidi="ar"/>
        </w:rPr>
        <w:t>neurofilament light chain (NfL; pg/ml)</w:t>
      </w:r>
      <w:r>
        <w:rPr>
          <w:rFonts w:hint="default" w:ascii="Times New Roman" w:hAnsi="Times New Roman" w:cs="Times New Roman"/>
          <w:color w:val="auto"/>
          <w:sz w:val="24"/>
        </w:rPr>
        <w:t>, and</w:t>
      </w:r>
      <w:r>
        <w:rPr>
          <w:rFonts w:hint="default" w:ascii="Times New Roman" w:hAnsi="Times New Roman" w:cs="Times New Roman"/>
          <w:b/>
          <w:bCs/>
          <w:color w:val="auto"/>
          <w:sz w:val="24"/>
        </w:rPr>
        <w:t xml:space="preserve"> </w:t>
      </w:r>
      <w:r>
        <w:rPr>
          <w:rFonts w:hint="default" w:ascii="Times New Roman" w:hAnsi="Times New Roman" w:cs="Times New Roman"/>
          <w:bCs/>
          <w:color w:val="auto"/>
          <w:kern w:val="0"/>
          <w:sz w:val="24"/>
          <w:lang w:bidi="ar"/>
        </w:rPr>
        <w:t>phosphorylated Tau181 (p-Tau181; pg/ml)</w:t>
      </w:r>
      <w:r>
        <w:rPr>
          <w:rFonts w:hint="default" w:ascii="Times New Roman" w:hAnsi="Times New Roman" w:cs="Times New Roman"/>
          <w:color w:val="auto"/>
          <w:sz w:val="24"/>
        </w:rPr>
        <w:t>.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 xml:space="preserve"> The p-values shown have undergone Benjamini-Hochberg multiple testing correction.</w:t>
      </w:r>
    </w:p>
    <w:p w14:paraId="362108A8">
      <w:pPr>
        <w:rPr>
          <w:color w:val="auto"/>
        </w:rPr>
      </w:pPr>
    </w:p>
    <w:p w14:paraId="450126F9">
      <w:pPr>
        <w:rPr>
          <w:color w:val="auto"/>
        </w:rPr>
      </w:pPr>
    </w:p>
    <w:p w14:paraId="0C431C6B">
      <w:pPr>
        <w:rPr>
          <w:color w:val="auto"/>
        </w:rPr>
      </w:pPr>
    </w:p>
    <w:p w14:paraId="5D445167">
      <w:pPr>
        <w:rPr>
          <w:color w:val="auto"/>
        </w:rPr>
      </w:pPr>
    </w:p>
    <w:p w14:paraId="5952418C">
      <w:pPr>
        <w:rPr>
          <w:color w:val="auto"/>
        </w:rPr>
      </w:pPr>
    </w:p>
    <w:p w14:paraId="26A3A555">
      <w:pPr>
        <w:rPr>
          <w:color w:val="auto"/>
        </w:rPr>
      </w:pPr>
    </w:p>
    <w:p w14:paraId="3243C83F">
      <w:pPr>
        <w:pStyle w:val="5"/>
        <w:spacing w:line="480" w:lineRule="auto"/>
        <w:ind w:left="0" w:firstLine="0" w:firstLineChars="0"/>
        <w:rPr>
          <w:rFonts w:eastAsiaTheme="minorEastAsia"/>
          <w:color w:val="auto"/>
          <w:sz w:val="24"/>
        </w:rPr>
      </w:pPr>
      <w:r>
        <w:rPr>
          <w:rFonts w:eastAsiaTheme="minorEastAsia"/>
          <w:b/>
          <w:bCs/>
          <w:color w:val="auto"/>
          <w:sz w:val="24"/>
        </w:rPr>
        <w:t>Table</w:t>
      </w:r>
      <w:r>
        <w:rPr>
          <w:rFonts w:hint="eastAsia" w:eastAsiaTheme="minorEastAsia"/>
          <w:b/>
          <w:bCs/>
          <w:color w:val="auto"/>
          <w:sz w:val="24"/>
        </w:rPr>
        <w:t>1</w:t>
      </w:r>
      <w:r>
        <w:rPr>
          <w:rFonts w:eastAsiaTheme="minorEastAsia"/>
          <w:b/>
          <w:bCs/>
          <w:color w:val="auto"/>
          <w:sz w:val="24"/>
        </w:rPr>
        <w:t xml:space="preserve">. </w:t>
      </w:r>
      <w:r>
        <w:rPr>
          <w:rFonts w:eastAsiaTheme="minorEastAsia"/>
          <w:color w:val="auto"/>
          <w:sz w:val="24"/>
        </w:rPr>
        <w:t>Distribution of extracellular vesicle-derived mitochondrial genes and plasma brain aging biomarker levels in three age groups.</w:t>
      </w:r>
    </w:p>
    <w:tbl>
      <w:tblPr>
        <w:tblStyle w:val="2"/>
        <w:tblW w:w="14153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1636"/>
        <w:gridCol w:w="1925"/>
        <w:gridCol w:w="2078"/>
        <w:gridCol w:w="1572"/>
        <w:gridCol w:w="4337"/>
      </w:tblGrid>
      <w:tr w14:paraId="6D373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6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A99217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Characteristics</w:t>
            </w:r>
          </w:p>
        </w:tc>
        <w:tc>
          <w:tcPr>
            <w:tcW w:w="16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567F07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Young</w:t>
            </w:r>
          </w:p>
          <w:p w14:paraId="6354275A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(20–40 years)</w:t>
            </w:r>
          </w:p>
          <w:p w14:paraId="2E76929F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(n = 61)</w:t>
            </w:r>
          </w:p>
        </w:tc>
        <w:tc>
          <w:tcPr>
            <w:tcW w:w="19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E398F5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Middle-aged</w:t>
            </w:r>
          </w:p>
          <w:p w14:paraId="576FB583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(41–65 years)</w:t>
            </w:r>
          </w:p>
          <w:p w14:paraId="73933981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(n = 67)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641395">
            <w:pPr>
              <w:pStyle w:val="5"/>
              <w:spacing w:line="480" w:lineRule="auto"/>
              <w:ind w:left="400" w:hanging="40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eastAsia="zh-CN"/>
              </w:rPr>
              <w:t>O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lder adults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(&gt;65 years)</w:t>
            </w:r>
          </w:p>
          <w:p w14:paraId="155001CA">
            <w:pPr>
              <w:pStyle w:val="5"/>
              <w:spacing w:line="480" w:lineRule="auto"/>
              <w:ind w:left="402" w:hanging="402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(n = 72)</w:t>
            </w:r>
          </w:p>
        </w:tc>
        <w:tc>
          <w:tcPr>
            <w:tcW w:w="15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6160E0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actual P-value</w:t>
            </w:r>
          </w:p>
        </w:tc>
        <w:tc>
          <w:tcPr>
            <w:tcW w:w="43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CE3795">
            <w:pPr>
              <w:pStyle w:val="5"/>
              <w:spacing w:line="480" w:lineRule="auto"/>
              <w:ind w:left="402" w:hanging="402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</w:rPr>
              <w:t>F(df between groups, df within groups)</w:t>
            </w:r>
          </w:p>
        </w:tc>
      </w:tr>
      <w:tr w14:paraId="75516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26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DD6B3">
            <w:pPr>
              <w:pStyle w:val="5"/>
              <w:spacing w:line="480" w:lineRule="auto"/>
              <w:ind w:left="400" w:hanging="400"/>
              <w:jc w:val="left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MT-ND1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bidi="ar"/>
              </w:rPr>
              <w:t>(Copies/mL)</w:t>
            </w:r>
          </w:p>
        </w:tc>
        <w:tc>
          <w:tcPr>
            <w:tcW w:w="16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3296A0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174.5 ± 148.9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94CDE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268.7 ± 210.8</w:t>
            </w:r>
          </w:p>
        </w:tc>
        <w:tc>
          <w:tcPr>
            <w:tcW w:w="20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6CB32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345.7 ± 218.1</w:t>
            </w:r>
          </w:p>
        </w:tc>
        <w:tc>
          <w:tcPr>
            <w:tcW w:w="15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E223E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0.000008</w:t>
            </w:r>
          </w:p>
        </w:tc>
        <w:tc>
          <w:tcPr>
            <w:tcW w:w="433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747FA3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12.487044</w:t>
            </w:r>
          </w:p>
        </w:tc>
      </w:tr>
      <w:tr w14:paraId="1982C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67509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MT-CO3</w:t>
            </w: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bidi="ar"/>
              </w:rPr>
              <w:t>(Copies/mL)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4AF03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227.9 ± 215.4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1AF0A2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267.5 ± 191.7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E824A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351.3 ± 200.5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9526F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0.001775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C4869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6.542025</w:t>
            </w:r>
          </w:p>
        </w:tc>
      </w:tr>
      <w:tr w14:paraId="1EB34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B0E92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D-loop</w:t>
            </w: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bidi="ar"/>
              </w:rPr>
              <w:t>(Copies/mL)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AD081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206.4 ± 177.3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EDBA0E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299.3 ± 215.1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79916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bidi="ar"/>
              </w:rPr>
              <w:t>360.2 ± 203.3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886FB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0.000086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AF288C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9.817429</w:t>
            </w:r>
          </w:p>
        </w:tc>
      </w:tr>
      <w:tr w14:paraId="502AE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57D72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color w:val="auto"/>
                <w:sz w:val="24"/>
              </w:rPr>
              <w:t>NfL (pg/ml)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7A5E3F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4.7 ± 3.6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E7CF0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13.9 ± 10.0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BEC50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50.4 ± 18.3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F58CD6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5.6321E-55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8A411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251.598967</w:t>
            </w:r>
          </w:p>
        </w:tc>
      </w:tr>
      <w:tr w14:paraId="37E18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D31B1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color w:val="auto"/>
                <w:sz w:val="24"/>
              </w:rPr>
              <w:t>Aβ42 (pg/ml)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80967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5.1 ± 3.0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D6D71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5.3 ± 1.7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C444B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7.1 ± 4.0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4CC96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0.004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95A15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8.892010</w:t>
            </w:r>
          </w:p>
        </w:tc>
      </w:tr>
      <w:tr w14:paraId="4D1EF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B6A715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color w:val="auto"/>
                <w:sz w:val="24"/>
              </w:rPr>
              <w:t>pTau181 (pg/ml)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4C90A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2.8 ± 3.7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115A7F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3.7 ± 5.5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9C07B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3.1 ± 2.0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A22BF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0.029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3E117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0.894974</w:t>
            </w:r>
          </w:p>
        </w:tc>
      </w:tr>
      <w:tr w14:paraId="4F80E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FBD30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color w:val="auto"/>
                <w:sz w:val="24"/>
              </w:rPr>
              <w:t>Aβ40 (pg/ml)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9A13F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370.5 ± 134.4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BBA4F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394.8 ± 143.2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77364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486.1 ± 173.4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32A58F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0.000032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63DE3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10.911238</w:t>
            </w:r>
          </w:p>
        </w:tc>
      </w:tr>
      <w:tr w14:paraId="07C5F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6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0E660B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color w:val="auto"/>
                <w:sz w:val="24"/>
              </w:rPr>
              <w:t>(Aβ42/Aβ40)*100</w:t>
            </w:r>
          </w:p>
        </w:tc>
        <w:tc>
          <w:tcPr>
            <w:tcW w:w="16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6D7556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1.5 ± 0.9</w:t>
            </w:r>
          </w:p>
        </w:tc>
        <w:tc>
          <w:tcPr>
            <w:tcW w:w="19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3B26B4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1.5 ± 0.7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48A5A6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1.6 ± 1.2</w:t>
            </w:r>
          </w:p>
        </w:tc>
        <w:tc>
          <w:tcPr>
            <w:tcW w:w="15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07BE7A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0.545</w:t>
            </w:r>
          </w:p>
        </w:tc>
        <w:tc>
          <w:tcPr>
            <w:tcW w:w="433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231AC0">
            <w:pPr>
              <w:pStyle w:val="5"/>
              <w:spacing w:line="480" w:lineRule="auto"/>
              <w:ind w:left="400" w:hanging="400"/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</w:rPr>
              <w:t>F (2, 197) = 0.608799</w:t>
            </w:r>
          </w:p>
        </w:tc>
      </w:tr>
    </w:tbl>
    <w:p w14:paraId="756769C9">
      <w:pPr>
        <w:rPr>
          <w:color w:val="auto"/>
        </w:rPr>
      </w:pPr>
    </w:p>
    <w:p w14:paraId="725DC1C6">
      <w:pPr>
        <w:spacing w:line="480" w:lineRule="auto"/>
        <w:rPr>
          <w:rFonts w:hint="default" w:ascii="Times New Roman" w:hAnsi="Times New Roman" w:cs="Times New Roman"/>
          <w:color w:val="auto"/>
          <w:sz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  <w:t xml:space="preserve">Supplementary </w:t>
      </w:r>
      <w:r>
        <w:rPr>
          <w:rFonts w:hint="default" w:ascii="Times New Roman" w:hAnsi="Times New Roman" w:cs="Times New Roman"/>
          <w:b/>
          <w:bCs/>
          <w:color w:val="auto"/>
          <w:sz w:val="24"/>
        </w:rPr>
        <w:t>Table</w:t>
      </w:r>
      <w:r>
        <w:rPr>
          <w:rFonts w:hint="eastAsia" w:ascii="Times New Roman" w:hAnsi="Times New Roman" w:cs="Times New Roman"/>
          <w:b/>
          <w:bCs/>
          <w:color w:val="auto"/>
          <w:sz w:val="24"/>
          <w:lang w:val="en-US" w:eastAsia="zh-CN"/>
        </w:rPr>
        <w:t xml:space="preserve"> 1</w:t>
      </w:r>
      <w:r>
        <w:rPr>
          <w:rFonts w:hint="default" w:ascii="Times New Roman" w:hAnsi="Times New Roman" w:cs="Times New Roman"/>
          <w:b/>
          <w:bCs/>
          <w:color w:val="auto"/>
          <w:sz w:val="24"/>
        </w:rPr>
        <w:t>.</w:t>
      </w:r>
      <w:r>
        <w:rPr>
          <w:rFonts w:hint="default" w:ascii="Times New Roman" w:hAnsi="Times New Roman" w:cs="Times New Roman"/>
          <w:color w:val="auto"/>
          <w:sz w:val="24"/>
        </w:rPr>
        <w:t xml:space="preserve"> Baseline traits of participants in three age groups.</w:t>
      </w:r>
    </w:p>
    <w:tbl>
      <w:tblPr>
        <w:tblStyle w:val="2"/>
        <w:tblW w:w="0" w:type="auto"/>
        <w:tblInd w:w="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1583"/>
        <w:gridCol w:w="1583"/>
        <w:gridCol w:w="1428"/>
        <w:gridCol w:w="1643"/>
        <w:gridCol w:w="4337"/>
      </w:tblGrid>
      <w:tr w14:paraId="5BED3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1DFBFC5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</w:rPr>
              <w:t>Characteristics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CC9F5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Young</w:t>
            </w:r>
          </w:p>
          <w:p w14:paraId="78099DF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(20–40 years)</w:t>
            </w:r>
          </w:p>
          <w:p w14:paraId="23FE63B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(n = 61)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43A8C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Middle-aged</w:t>
            </w:r>
          </w:p>
          <w:p w14:paraId="4BB004C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(41–65 years)</w:t>
            </w:r>
          </w:p>
          <w:p w14:paraId="3AB468F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(n = 67)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2B8C5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Elderly</w:t>
            </w:r>
          </w:p>
          <w:p w14:paraId="3FB2EF4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(&gt; 65 years)</w:t>
            </w:r>
          </w:p>
          <w:p w14:paraId="4E92F15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>(n = 72)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41F31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lang w:val="en-US" w:eastAsia="zh-CN"/>
              </w:rPr>
              <w:t>actual P 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31740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bidi="ar"/>
              </w:rPr>
              <w:t xml:space="preserve"> F(df between groups, df within groups)</w:t>
            </w:r>
          </w:p>
        </w:tc>
      </w:tr>
      <w:tr w14:paraId="2367D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F961D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Age (year)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2B9F3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30.8 ± 6.2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87011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54.3 ± 7.1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133C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77.3 ± 6.6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C5F7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1.9576E-95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52A93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802.949993</w:t>
            </w:r>
          </w:p>
        </w:tc>
      </w:tr>
      <w:tr w14:paraId="440C2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BBABD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AST (U/L)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BC434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26.9 ± 37.0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EC5E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28.1 ± 17.9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AAFC1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23.3 ± 9.3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6022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68EDF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1.9576E-95</w:t>
            </w:r>
          </w:p>
        </w:tc>
      </w:tr>
      <w:tr w14:paraId="3A1FF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DD8E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ALT (U/L)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6F62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29.2 ± 34.3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D0C2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30.9 ± 24.4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82EE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20.9 ± 14.1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C1BA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673427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3.143398</w:t>
            </w:r>
          </w:p>
        </w:tc>
      </w:tr>
      <w:tr w14:paraId="47889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4A9AA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GGT (U/L)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BDF6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35.0 ± 43.9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5600A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30.1 ± 19.0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3F42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29.7 ± 19.2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9CB0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F6F058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0.664374</w:t>
            </w:r>
          </w:p>
        </w:tc>
      </w:tr>
      <w:tr w14:paraId="27366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C6434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ALP (U/L)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0F518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70.4 ± 20.7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6BED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73.0 ± 20.7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43D6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79.3 ± 26.5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74AFE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59AA0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2.699393</w:t>
            </w:r>
          </w:p>
        </w:tc>
      </w:tr>
      <w:tr w14:paraId="3432A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968B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 xml:space="preserve">GLDH </w:t>
            </w:r>
            <w:bookmarkStart w:id="0" w:name="OLE_LINK6"/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(U/L)</w:t>
            </w:r>
            <w:bookmarkEnd w:id="0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2DDC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7.8 ± 25.9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B2854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5.1 ± 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AF4C1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5.4 ± 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78FE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1A49B2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0.594004</w:t>
            </w:r>
          </w:p>
        </w:tc>
      </w:tr>
      <w:tr w14:paraId="58BAD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D7D7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CREA (µmol/L)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2115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71.1 ± 70.1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141A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63.5 ± 14.9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F885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67.3 ± 18.4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E5D0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3CD93D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0.544807</w:t>
            </w:r>
          </w:p>
        </w:tc>
      </w:tr>
      <w:tr w14:paraId="18B65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2332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eGFR(ml/min)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130B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120.8 ± 13.2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5C1C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106.9 ± 15.0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6DF9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84.6 ± 16.6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C224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</w:rPr>
              <w:t>2.4523E-30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AC73E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98.311149</w:t>
            </w:r>
          </w:p>
        </w:tc>
      </w:tr>
      <w:tr w14:paraId="606CC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8D050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4"/>
                <w:lang w:bidi="ar"/>
              </w:rPr>
              <w:t>Platelets (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4"/>
                <w:lang w:bidi="ar"/>
              </w:rPr>
              <w:sym w:font="Symbol" w:char="00B4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4"/>
                <w:lang w:bidi="ar"/>
              </w:rPr>
              <w:t xml:space="preserve"> 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4"/>
                <w:vertAlign w:val="superscript"/>
                <w:lang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4"/>
                <w:lang w:bidi="ar"/>
              </w:rPr>
              <w:t>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688B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256.3 ± 53.3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B72CD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230.4 ± 55.8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0310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237.7 ± 81.0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5121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96CE7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2.638683</w:t>
            </w:r>
          </w:p>
        </w:tc>
      </w:tr>
      <w:tr w14:paraId="5BBC7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50EFF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 xml:space="preserve">HGB </w:t>
            </w:r>
            <w:r>
              <w:rPr>
                <w:rStyle w:val="6"/>
                <w:rFonts w:hint="default" w:ascii="Times New Roman" w:hAnsi="Times New Roman" w:eastAsia="宋体" w:cs="Times New Roman"/>
                <w:b w:val="0"/>
                <w:bCs/>
                <w:color w:val="auto"/>
                <w:lang w:bidi="ar"/>
              </w:rPr>
              <w:t>(g/L)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29BB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133.3 ± 18.9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D86A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138.5 ± 15.1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53FBE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123.7 ± 16.4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F3A62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3FBC6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13.936092</w:t>
            </w:r>
          </w:p>
        </w:tc>
      </w:tr>
      <w:tr w14:paraId="4B341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A661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RBC (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sym w:font="Symbol" w:char="00B4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 xml:space="preserve"> 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vertAlign w:val="superscript"/>
                <w:lang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A8BC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4.6 ± 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0C62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4.6 ± 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DB75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4.1 ± 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FF01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1.2145E-8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4DA6D3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20.021610</w:t>
            </w:r>
          </w:p>
        </w:tc>
      </w:tr>
      <w:tr w14:paraId="45155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1F9D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WBC (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sym w:font="Symbol" w:char="00B4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 xml:space="preserve"> 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vertAlign w:val="superscript"/>
                <w:lang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AA2E0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6.5 ± 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3BD1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6.0 ± 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A2EA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6.3 ± 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D0DA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2C815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0.896281</w:t>
            </w:r>
          </w:p>
        </w:tc>
      </w:tr>
      <w:tr w14:paraId="2F6BE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A8611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LYMPH%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1DE8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33.4 ± 8.9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3218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31.7 ± 7.6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8A509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28.3 ± 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2D08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0CB6F3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5.816410</w:t>
            </w:r>
          </w:p>
        </w:tc>
      </w:tr>
      <w:tr w14:paraId="1251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05EB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LYMPH (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sym w:font="Symbol" w:char="00B4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 xml:space="preserve"> 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vertAlign w:val="superscript"/>
                <w:lang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5EFE2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2.1 ± 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81BD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1.9 ± 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1F25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1.7 ± 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B7DA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0.000450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24727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8.016866</w:t>
            </w:r>
          </w:p>
        </w:tc>
      </w:tr>
      <w:tr w14:paraId="2ABDE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07E43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NEUT%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B2BB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57.9 ± 9.8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99AA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59.0 ± 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E937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61.7 ± 10.6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D23A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65DDA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2.852730</w:t>
            </w:r>
          </w:p>
        </w:tc>
      </w:tr>
      <w:tr w14:paraId="0AB07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F6D9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NEUT (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sym w:font="Symbol" w:char="00B4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 xml:space="preserve"> 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vertAlign w:val="superscript"/>
                <w:lang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CF38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3.9 ± 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96830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3.6 ± 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DF50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4.0 ± 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E7BB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67E21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0.863609</w:t>
            </w:r>
          </w:p>
        </w:tc>
      </w:tr>
      <w:tr w14:paraId="41E15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B925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N/L 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89A1F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2.0 ± 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8625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2.1 ± 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09D7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2.8 ± 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672A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C80CE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4.929706</w:t>
            </w:r>
          </w:p>
        </w:tc>
      </w:tr>
      <w:tr w14:paraId="09CF2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A750C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P/L 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1FCD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131.0 ± 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DA03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131.9 ± 48.7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5771B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160.1 ± 98.2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B21AF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80643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3.976326</w:t>
            </w:r>
          </w:p>
        </w:tc>
      </w:tr>
      <w:tr w14:paraId="2DC3D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B2747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HDL-C (mmol/L)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B53B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1.4 ± 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7AD2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1.2 ± 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AC64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1.3 ± 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5571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7C2F1B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5.015242</w:t>
            </w:r>
          </w:p>
        </w:tc>
      </w:tr>
      <w:tr w14:paraId="387D6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032E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LDL-C (mmol/L)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4D781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2.7 ± 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05290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3.1 ± 0.8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4CD2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2.8 ± 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E837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4DCEF3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3.759085</w:t>
            </w:r>
          </w:p>
        </w:tc>
      </w:tr>
      <w:tr w14:paraId="2B841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A6E7E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CHOL (mmol/L)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C1D4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4.4 ± 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B1C4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4.7 ± 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97DB2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4.5 ± 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BE61F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4BF28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1.766157</w:t>
            </w:r>
          </w:p>
        </w:tc>
      </w:tr>
      <w:tr w14:paraId="38BEA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B6CA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TG (mmol/L)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7538C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1.2 ± 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04E3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1.5 ± 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63E2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1.3 ± 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9FB7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0.083320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76841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2.516682</w:t>
            </w:r>
          </w:p>
        </w:tc>
      </w:tr>
      <w:tr w14:paraId="070BA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1646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APOB (g/L)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653AF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0.8 ± 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3686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1.0 ± 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8EF0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0.9 ± 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654C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08775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2.505766</w:t>
            </w:r>
          </w:p>
        </w:tc>
      </w:tr>
      <w:tr w14:paraId="36032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3C4E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APOA1 (g/L)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63E9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1.2 ± 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D05A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1.1 ± 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F5BE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1.2 ± 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533D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5CDE1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2.354256</w:t>
            </w:r>
          </w:p>
        </w:tc>
      </w:tr>
      <w:tr w14:paraId="44406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AB03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ALB (g/L)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79CE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45.2 ± 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C139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42.7 ± 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8DD2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40.5 ± 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9E63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0.000495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538A2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7.912325</w:t>
            </w:r>
          </w:p>
        </w:tc>
      </w:tr>
      <w:tr w14:paraId="08011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4823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URIC (µmol/L)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51F1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330.5 ± 97.4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7D49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327.7 ± 90.0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4312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314.9 ± 89.7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F505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B6C8B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0.553408</w:t>
            </w:r>
          </w:p>
        </w:tc>
      </w:tr>
      <w:tr w14:paraId="51B31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B51D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UREA (mmol/L)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8F071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4.8 ± 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EAA8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5.9 ± 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011D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5.9 ± 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881E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0.000063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3C4E3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10.168783</w:t>
            </w:r>
          </w:p>
        </w:tc>
      </w:tr>
      <w:tr w14:paraId="67B89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808B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HCY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(µmol/L)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416C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13.9 ± 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9804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14.1 ± 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B8E1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16.3 ± 7.8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7082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0.122419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B4200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2.122854</w:t>
            </w:r>
          </w:p>
        </w:tc>
      </w:tr>
      <w:tr w14:paraId="2B9F3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CC6C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GLU (mmol/L)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D26D5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5.1 ± 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B8E970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5.7 ± 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030D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5.8 ± 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DDEE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6459D0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4.345704</w:t>
            </w:r>
          </w:p>
        </w:tc>
      </w:tr>
      <w:tr w14:paraId="39F64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50BA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SBP (mm Hg)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D862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123.1 ± 15.8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0304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130.7 ± 17.0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8F0C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141.0 ± 21.1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9EC2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3.0986E-7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FACCD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16.187399</w:t>
            </w:r>
          </w:p>
        </w:tc>
      </w:tr>
      <w:tr w14:paraId="4AD8F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2022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DBP (mm Hg)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A3AA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82.6 ± 10.6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935B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84.7 ± 12.4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EA2E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80.8 ± 11.0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FBF6D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888D81">
            <w:pPr>
              <w:widowControl/>
              <w:spacing w:line="48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(2, 197)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2.040053</w:t>
            </w:r>
          </w:p>
        </w:tc>
      </w:tr>
      <w:tr w14:paraId="26845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F9BBB9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Male: n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E9D1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27 (44.3%)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FE62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42 (62.7%)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1CD9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35 (48.6%)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5171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0.088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E297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/</w:t>
            </w:r>
          </w:p>
        </w:tc>
      </w:tr>
      <w:tr w14:paraId="32CD8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88D4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Current smoker n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5119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13 (21.3%)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23FF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23 (34.3%)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AFCF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19 (26.4%)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A16E4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0.249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38D57">
            <w:pPr>
              <w:widowControl/>
              <w:spacing w:line="48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/</w:t>
            </w:r>
          </w:p>
        </w:tc>
      </w:tr>
      <w:tr w14:paraId="5A65F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1CC8E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Current alcohol drinker: n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1583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19 (31.1%)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BD2C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23 (34.3%)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0CABF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18 (25.0%)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54541B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0.474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DDCBE">
            <w:pPr>
              <w:widowControl/>
              <w:spacing w:line="48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/</w:t>
            </w:r>
          </w:p>
        </w:tc>
      </w:tr>
      <w:tr w14:paraId="75A8D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FD51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Diabetes mellitus: n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8F05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2 (3.3%)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40E3F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18 (26.9%)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74AFC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18 (25.0%)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9B98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&lt;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6984E">
            <w:pPr>
              <w:widowControl/>
              <w:spacing w:line="48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/</w:t>
            </w:r>
          </w:p>
        </w:tc>
      </w:tr>
      <w:tr w14:paraId="762D1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EE61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Hypertension: n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09B37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8 (13.1%)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19B4B3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25 (37.3%)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2C29F2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47 (65.3%)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CA445D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&lt;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500F1">
            <w:pPr>
              <w:widowControl/>
              <w:spacing w:line="48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/</w:t>
            </w:r>
          </w:p>
        </w:tc>
      </w:tr>
      <w:tr w14:paraId="2FFDF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465C5A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Coronary heart disease: n (%)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633AA5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13 (21.3%)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283D76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35 (52.2%)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7BF191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39 (54.2%)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E6B16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&lt;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lang w:bidi="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1F96B6">
            <w:pPr>
              <w:widowControl/>
              <w:spacing w:line="48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/</w:t>
            </w:r>
          </w:p>
        </w:tc>
      </w:tr>
    </w:tbl>
    <w:p w14:paraId="06823317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</w:pPr>
    </w:p>
    <w:p w14:paraId="226B9C1E">
      <w:pPr>
        <w:spacing w:line="48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</w:pPr>
    </w:p>
    <w:p w14:paraId="57FF2C7A">
      <w:pPr>
        <w:spacing w:line="480" w:lineRule="auto"/>
        <w:rPr>
          <w:rFonts w:ascii="Times New Roman" w:hAnsi="Times New Roman" w:cs="Times New Roman"/>
          <w:color w:val="auto"/>
          <w:sz w:val="24"/>
        </w:rPr>
      </w:pPr>
      <w:bookmarkStart w:id="1" w:name="OLE_LINK1"/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  <w:t xml:space="preserve">Supplementary </w:t>
      </w:r>
      <w:r>
        <w:rPr>
          <w:rFonts w:hint="default" w:ascii="Times New Roman" w:hAnsi="Times New Roman" w:cs="Times New Roman"/>
          <w:b/>
          <w:bCs/>
          <w:color w:val="auto"/>
          <w:sz w:val="24"/>
        </w:rPr>
        <w:t>Table</w:t>
      </w:r>
      <w:r>
        <w:rPr>
          <w:rFonts w:hint="eastAsia" w:ascii="Times New Roman" w:hAnsi="Times New Roman" w:cs="Times New Roman"/>
          <w:b/>
          <w:bCs/>
          <w:color w:val="auto"/>
          <w:sz w:val="24"/>
          <w:lang w:val="en-US" w:eastAsia="zh-CN"/>
        </w:rPr>
        <w:t xml:space="preserve"> 2</w:t>
      </w:r>
      <w:r>
        <w:rPr>
          <w:rFonts w:hint="default" w:ascii="Times New Roman" w:hAnsi="Times New Roman" w:cs="Times New Roman"/>
          <w:b/>
          <w:bCs/>
          <w:color w:val="auto"/>
          <w:sz w:val="24"/>
        </w:rPr>
        <w:t>.</w:t>
      </w:r>
      <w:r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</w:rPr>
        <w:t>Multivariable regression analysis examining the relationship between the levels of extracellular vesicle-derived mitochondrial genes and plasma biomarkers of brain aging.</w:t>
      </w:r>
    </w:p>
    <w:bookmarkEnd w:id="1"/>
    <w:tbl>
      <w:tblPr>
        <w:tblStyle w:val="3"/>
        <w:tblW w:w="14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292"/>
        <w:gridCol w:w="2779"/>
        <w:gridCol w:w="1157"/>
        <w:gridCol w:w="2676"/>
        <w:gridCol w:w="1197"/>
        <w:gridCol w:w="2547"/>
        <w:gridCol w:w="1489"/>
      </w:tblGrid>
      <w:tr w14:paraId="7242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014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Biomarker</w:t>
            </w:r>
          </w:p>
        </w:tc>
        <w:tc>
          <w:tcPr>
            <w:tcW w:w="12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ACF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</w:t>
            </w:r>
          </w:p>
        </w:tc>
        <w:tc>
          <w:tcPr>
            <w:tcW w:w="3936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D74C9DE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MT-ND1</w:t>
            </w:r>
          </w:p>
        </w:tc>
        <w:tc>
          <w:tcPr>
            <w:tcW w:w="3873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62F9376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MT-CO3</w:t>
            </w:r>
          </w:p>
        </w:tc>
        <w:tc>
          <w:tcPr>
            <w:tcW w:w="4036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1552AD1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D-loop</w:t>
            </w:r>
          </w:p>
        </w:tc>
      </w:tr>
      <w:tr w14:paraId="4DD4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1DB93D3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E6CBBA5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27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3742A3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β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(95%CI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)</w:t>
            </w:r>
          </w:p>
        </w:tc>
        <w:tc>
          <w:tcPr>
            <w:tcW w:w="115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0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/>
                <w:iCs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/>
                <w:iCs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</w:t>
            </w:r>
            <w:r>
              <w:rPr>
                <w:rStyle w:val="7"/>
                <w:rFonts w:hint="default" w:ascii="Times New Roman" w:hAnsi="Times New Roman" w:eastAsia="宋体" w:cs="Times New Roman"/>
                <w:b w:val="0"/>
                <w:color w:val="auto"/>
                <w:sz w:val="24"/>
                <w:szCs w:val="24"/>
                <w:lang w:val="en-US" w:eastAsia="zh-CN" w:bidi="ar"/>
              </w:rPr>
              <w:t>-value</w:t>
            </w:r>
          </w:p>
        </w:tc>
        <w:tc>
          <w:tcPr>
            <w:tcW w:w="267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065ECD5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β (95%CI)</w:t>
            </w:r>
          </w:p>
        </w:tc>
        <w:tc>
          <w:tcPr>
            <w:tcW w:w="119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757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/>
                <w:iCs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/>
                <w:iCs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</w:t>
            </w:r>
            <w:r>
              <w:rPr>
                <w:rStyle w:val="7"/>
                <w:rFonts w:hint="default" w:ascii="Times New Roman" w:hAnsi="Times New Roman" w:eastAsia="宋体" w:cs="Times New Roman"/>
                <w:b w:val="0"/>
                <w:color w:val="auto"/>
                <w:sz w:val="24"/>
                <w:szCs w:val="24"/>
                <w:lang w:val="en-US" w:eastAsia="zh-CN" w:bidi="ar"/>
              </w:rPr>
              <w:t>-value</w:t>
            </w:r>
          </w:p>
        </w:tc>
        <w:tc>
          <w:tcPr>
            <w:tcW w:w="25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5A4F9E1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β (95%CI)</w:t>
            </w:r>
          </w:p>
        </w:tc>
        <w:tc>
          <w:tcPr>
            <w:tcW w:w="148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EA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/>
                <w:iCs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/>
                <w:iCs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</w:t>
            </w:r>
            <w:r>
              <w:rPr>
                <w:rStyle w:val="7"/>
                <w:rFonts w:hint="default" w:ascii="Times New Roman" w:hAnsi="Times New Roman" w:eastAsia="宋体" w:cs="Times New Roman"/>
                <w:b w:val="0"/>
                <w:color w:val="auto"/>
                <w:sz w:val="24"/>
                <w:szCs w:val="24"/>
                <w:lang w:val="en-US" w:eastAsia="zh-CN" w:bidi="ar"/>
              </w:rPr>
              <w:t>-value</w:t>
            </w:r>
          </w:p>
        </w:tc>
      </w:tr>
      <w:tr w14:paraId="122F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4C3CDD9">
            <w:pPr>
              <w:jc w:val="center"/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</w:p>
          <w:p w14:paraId="43A0D47C">
            <w:pPr>
              <w:jc w:val="center"/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</w:p>
          <w:p w14:paraId="646185AB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Aβ42 (pg/ml)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ABBB43F">
            <w:pPr>
              <w:rPr>
                <w:rFonts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Non-adjusted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B8896EF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0.002390 (0.000277</w:t>
            </w:r>
            <w:r>
              <w:rPr>
                <w:rStyle w:val="6"/>
                <w:rFonts w:hint="default" w:ascii="Times New Roman" w:hAnsi="Times New Roman" w:eastAsia="宋体" w:cs="Times New Roman"/>
                <w:b w:val="0"/>
                <w:color w:val="auto"/>
                <w:sz w:val="24"/>
                <w:szCs w:val="24"/>
                <w:lang w:val="en-US" w:eastAsia="zh-CN" w:bidi="ar"/>
              </w:rPr>
              <w:t>, 0.004503)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47EAC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0.329508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058195B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-0.000604(-0.002743,0.001535)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37FF9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0.761358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3A30DFB">
            <w:pPr>
              <w:jc w:val="center"/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0.000370(-0.001763,0.002503)</w:t>
            </w:r>
          </w:p>
          <w:p w14:paraId="0923DA35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1ECA1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0.896757</w:t>
            </w:r>
          </w:p>
        </w:tc>
      </w:tr>
      <w:tr w14:paraId="0D48A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41B4E662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7CCB89A">
            <w:pP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Model I</w:t>
            </w:r>
          </w:p>
          <w:p w14:paraId="50AE9014">
            <w:pPr>
              <w:rPr>
                <w:rFonts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53A8F3B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0.000906 (-0.001260, 0.003071)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10382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444DADA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-0.001970(-0.004068, 0.000128)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7CF9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0.439238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AAB3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-0.001265(-0.003407,0.000877)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7E67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3D5F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51AE1D98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587173">
            <w:pPr>
              <w:rPr>
                <w:rFonts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979C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0.000793 (-0.001362, 0.002949)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EE89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4533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-0.002073(-0.001362, 0.002949)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1DF1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B231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-0.001276(-0.003404,0.000852)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ED1EE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4689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E88D1F0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63F024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E555DF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3D7B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0.000301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(-0.001946,0.002547)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1E728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0.896757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FE6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-0.002008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(-0.004185,0.000168)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5C3EB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0.439238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4A0A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-0.001260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(-0.003483,0.000963)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67968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7D453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F31F652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</w:rPr>
            </w:pPr>
          </w:p>
          <w:p w14:paraId="677ADF8D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</w:rPr>
            </w:pPr>
          </w:p>
          <w:p w14:paraId="19FF392F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</w:rPr>
              <w:t xml:space="preserve">pTau181 </w:t>
            </w:r>
            <w:r>
              <w:rPr>
                <w:rFonts w:ascii="Times New Roman" w:hAnsi="Times New Roman" w:cs="Times New Roman"/>
                <w:b w:val="0"/>
                <w:bCs/>
                <w:color w:val="auto"/>
                <w:sz w:val="24"/>
              </w:rPr>
              <w:t>(pg/ml)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8BBCB03">
            <w:pPr>
              <w:rPr>
                <w:rFonts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Non-adjusted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DA3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0.002503 (-0.001376, 0.003965)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D77C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C043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-0.000720 (-0.003397, 0.001957)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52668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0.761358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B777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-0.000830 (-0.003497, 0.001837)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065B0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0.761358</w:t>
            </w:r>
          </w:p>
        </w:tc>
      </w:tr>
      <w:tr w14:paraId="54BF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5A1DEDC9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0038CE">
            <w:pP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Model I</w:t>
            </w:r>
          </w:p>
          <w:p w14:paraId="7EC693A6">
            <w:pPr>
              <w:rPr>
                <w:rFonts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E408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0.001083 (-0.001761, 0.003927)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959A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B1A7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-0.001052 (-0.003827, 0.001723)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A29AA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AC06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-0.001280 (-0.004097, 0.001536)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2AE59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185B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6CD648D4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05F4092">
            <w:pPr>
              <w:rPr>
                <w:rFonts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AA8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0.001155 (-0.001695, 0.004005)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E6A01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20CF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-0.000996 (-0.003777, 0.001785)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BC794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0FD6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-0.001273(-0.004092,0.001545)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E44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7BFC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ADB3FA4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C3517D9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24112DF1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DEF5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0.001249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(-0.001696,0.004195)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4049B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B45F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-0.001346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(-0.004224,0.001532)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E243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7C2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-0.001396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(-0.004318,0.001526)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63D13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6EF3A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AE2C949">
            <w:pPr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4"/>
              </w:rPr>
            </w:pPr>
          </w:p>
          <w:p w14:paraId="7223B753">
            <w:pPr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4"/>
              </w:rPr>
            </w:pPr>
          </w:p>
          <w:p w14:paraId="4F2F64A2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ascii="Times New Roman" w:hAnsi="Times New Roman" w:cs="Times New Roman"/>
                <w:b w:val="0"/>
                <w:bCs/>
                <w:color w:val="auto"/>
                <w:sz w:val="24"/>
              </w:rPr>
              <w:t>Aβ40 (pg/ml)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C5F1361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Non-adjusted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4D9A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0.119757 (0.013443, 0.226071)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9DEA8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0.329508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0978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0.105841 (-0.000828, 0.212511)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1FF6B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0.439238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ED5D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0.050350 (-0.056735, 0.157435)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5EBC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31CB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1E21EA50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9E8D804">
            <w:pP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Model I</w:t>
            </w:r>
          </w:p>
          <w:p w14:paraId="3CB90197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1EB1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0.040502(-0.067882, 0.148887)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FA5E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C0AE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0.043859(-0.061853,0.149571)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ABF4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21AD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-0.032458 (-0.139902, 0.074985)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35F39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0.761358</w:t>
            </w:r>
          </w:p>
        </w:tc>
      </w:tr>
      <w:tr w14:paraId="1A29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6EFFE9EB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3564152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280E8">
            <w:pPr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0.030317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</w:rPr>
              <w:t>-0.075431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0.136066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89175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0.761358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D2D8E">
            <w:pPr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</w:rPr>
              <w:t>0.035114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(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</w:rPr>
              <w:t>-0.067990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,</w:t>
            </w: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0.138218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7E124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0.753897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55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-0.033465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 xml:space="preserve"> (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</w:rPr>
              <w:t>-0.138063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0.071133</w:t>
            </w:r>
            <w:r>
              <w:rPr>
                <w:rFonts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BCD90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0.761358</w:t>
            </w:r>
          </w:p>
        </w:tc>
      </w:tr>
      <w:tr w14:paraId="594E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546CACD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7A30972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ECB0C6B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6464C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0.010804</w:t>
            </w: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(-0.096743,0.118352)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F58B9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宋体" w:cs="Times New Roman"/>
                <w:b w:val="0"/>
                <w:color w:val="auto"/>
                <w:kern w:val="2"/>
                <w:sz w:val="24"/>
                <w:u w:val="none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0.911821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07CC2A">
            <w:pPr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</w:rPr>
              <w:t>0.054152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  <w:lang w:val="en-US" w:eastAsia="zh-CN"/>
              </w:rPr>
              <w:t>(-0.050689,0.158993)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D0B24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宋体" w:cs="Times New Roman"/>
                <w:b w:val="0"/>
                <w:color w:val="auto"/>
                <w:kern w:val="2"/>
                <w:sz w:val="24"/>
                <w:u w:val="none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41F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bidi="ar"/>
              </w:rPr>
              <w:t>-0.029022</w:t>
            </w: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lang w:val="en-US" w:eastAsia="zh-CN" w:bidi="ar"/>
              </w:rPr>
              <w:t>(-0.135707,0.077663)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1DF6A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宋体" w:cs="Times New Roman"/>
                <w:b w:val="0"/>
                <w:color w:val="auto"/>
                <w:kern w:val="2"/>
                <w:sz w:val="24"/>
                <w:u w:val="none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0.761358</w:t>
            </w:r>
          </w:p>
        </w:tc>
      </w:tr>
      <w:tr w14:paraId="273CB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DB411EB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</w:p>
          <w:p w14:paraId="78906520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</w:p>
          <w:p w14:paraId="6E95BBC8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NfL (pg/ml)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610E3C4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Non-adjusted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440B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0.033650 (0.018464, 0.048836)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490F9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0.0012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7843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0.025201 (0.009687, 0.040715)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13B25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0.03168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EA4D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0.027631 (0.012256, 0.043006)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CD08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0.01476</w:t>
            </w:r>
          </w:p>
        </w:tc>
      </w:tr>
      <w:tr w14:paraId="3A92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0863E56B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D18A566">
            <w:pP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Model I</w:t>
            </w:r>
          </w:p>
          <w:p w14:paraId="7C14FD00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AD777D0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0.000216 (-0.008096, 0.008528)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6A03E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0.959172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3187167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-0.000773(-0.008882, 0.007336)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7D55C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0.911821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A33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-0.004525(-0.012736,0.003686)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85E27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0F16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2D3A5481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5244BE1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C84AB">
            <w:pPr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-0.000227</w:t>
            </w: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-0.008498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, 0.008044)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8434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0.959172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E3E72">
            <w:pPr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-0.001156 (</w:t>
            </w: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-0.009221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, 0.006909)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71668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0.911821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46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-0.004569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-0.012726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,0.003589)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8AF60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34AC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E79ECB5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59FCC48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1B790F8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04CD9">
            <w:pPr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-0.002955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  <w:szCs w:val="24"/>
                <w:lang w:val="en-US" w:eastAsia="zh-CN"/>
              </w:rPr>
              <w:t>(-0.010439,0.004530)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29CF2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A0162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bidi="ar"/>
              </w:rPr>
              <w:t>0.000824</w:t>
            </w:r>
            <w:r>
              <w:rPr>
                <w:rFonts w:hint="eastAsia" w:ascii="Times New Roman" w:hAnsi="Times New Roman" w:eastAsia="宋体" w:cs="Times New Roman"/>
                <w:b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(-0.006504,0.008152)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8C7FD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0.911821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CD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-0.002649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4"/>
                <w:szCs w:val="24"/>
                <w:lang w:val="en-US" w:eastAsia="zh-CN"/>
              </w:rPr>
              <w:t>(-0.010081,0.004783)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74685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53CF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FAA0660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vertAlign w:val="baseline"/>
              </w:rPr>
            </w:pPr>
          </w:p>
          <w:p w14:paraId="71D6200F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vertAlign w:val="baseline"/>
              </w:rPr>
            </w:pPr>
          </w:p>
          <w:p w14:paraId="4E821C21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vertAlign w:val="baseline"/>
              </w:rPr>
              <w:t>Aβ42/Aβ40*100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15D6670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Non-adjusted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F18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9.7315E-7 (-0.000006, 0.000007)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05D8D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0.896757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254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-0.000005(-0.000011,0.000002)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F8DA2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34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-0.000001(-0.000007,0.000005)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9A184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0.896757</w:t>
            </w:r>
          </w:p>
        </w:tc>
      </w:tr>
      <w:tr w14:paraId="7ED46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2463BBC2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77AF925">
            <w:pP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  <w:vertAlign w:val="baseline"/>
              </w:rPr>
              <w:t>Model I</w:t>
            </w:r>
          </w:p>
          <w:p w14:paraId="25ED0682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EBA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-3.6306E-7(-0.000007, 0.000007)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72B1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0.950849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DF38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-0.000006(-0.000013,6.4282E-7)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D7A6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0.439238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1B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-0.000002(-0.000009,0.000004)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07B0E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0B3A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right w:val="nil"/>
            </w:tcBorders>
            <w:shd w:val="clear" w:color="auto" w:fill="FFFFFF"/>
          </w:tcPr>
          <w:p w14:paraId="54200444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435D708">
            <w:pPr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7D0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-3.5664E-7(-0.000007, 0.000007)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A7E3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0.950849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A7B7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-0.000006(-0.000013,6.5998E-7)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CB56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0.439238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4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b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-0.000002(-0.000009,0.000004)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889C2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  <w:tr w14:paraId="0484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61" w:type="dxa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E9C9223">
            <w:pPr>
              <w:rPr>
                <w:rFonts w:ascii="Times New Roman" w:hAnsi="Times New Roman" w:cs="Times New Roman"/>
                <w:b w:val="0"/>
                <w:color w:val="auto"/>
                <w:sz w:val="24"/>
                <w:vertAlign w:val="baseline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244AC2C6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7621B7D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Model III</w:t>
            </w:r>
          </w:p>
        </w:tc>
        <w:tc>
          <w:tcPr>
            <w:tcW w:w="27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8536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(-0.000009,0.000006)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bottom"/>
          </w:tcPr>
          <w:p w14:paraId="1941752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0.896757</w:t>
            </w:r>
          </w:p>
        </w:tc>
        <w:tc>
          <w:tcPr>
            <w:tcW w:w="267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A0E7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(-0.000013,7.7882E-7)</w:t>
            </w:r>
          </w:p>
        </w:tc>
        <w:tc>
          <w:tcPr>
            <w:tcW w:w="119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bottom"/>
          </w:tcPr>
          <w:p w14:paraId="09710D2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0.439238</w:t>
            </w:r>
          </w:p>
        </w:tc>
        <w:tc>
          <w:tcPr>
            <w:tcW w:w="25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E5E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-0.000003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(-0.000010,0.000005)</w:t>
            </w:r>
          </w:p>
        </w:tc>
        <w:tc>
          <w:tcPr>
            <w:tcW w:w="148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bottom"/>
          </w:tcPr>
          <w:p w14:paraId="0655DA8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0.742594</w:t>
            </w:r>
          </w:p>
        </w:tc>
      </w:tr>
    </w:tbl>
    <w:p w14:paraId="6AF94411">
      <w:pPr>
        <w:widowControl/>
        <w:spacing w:line="480" w:lineRule="auto"/>
        <w:textAlignment w:val="center"/>
        <w:rPr>
          <w:rFonts w:ascii="Times New Roman" w:hAnsi="Times New Roman" w:eastAsia="宋体" w:cs="Times New Roman"/>
          <w:bCs/>
          <w:color w:val="auto"/>
          <w:kern w:val="0"/>
          <w:sz w:val="24"/>
          <w:lang w:bidi="ar"/>
        </w:rPr>
      </w:pPr>
      <w:r>
        <w:rPr>
          <w:rFonts w:ascii="Times New Roman" w:hAnsi="Times New Roman" w:cs="Times New Roman"/>
          <w:color w:val="auto"/>
          <w:sz w:val="24"/>
        </w:rPr>
        <w:t>Note: AGE is adjusted in Model I. The list of variables adjusted in Model II includes Model I</w:t>
      </w:r>
      <w:r>
        <w:rPr>
          <w:rFonts w:hint="eastAsia" w:ascii="Times New Roman" w:hAnsi="Times New Roman" w:cs="Times New Roman"/>
          <w:color w:val="auto"/>
          <w:sz w:val="24"/>
          <w:lang w:val="en-US" w:eastAsia="zh-CN"/>
        </w:rPr>
        <w:t xml:space="preserve"> and </w:t>
      </w:r>
      <w:r>
        <w:rPr>
          <w:rFonts w:ascii="Times New Roman" w:hAnsi="Times New Roman" w:eastAsia="宋体" w:cs="Times New Roman"/>
          <w:bCs/>
          <w:color w:val="auto"/>
          <w:kern w:val="0"/>
          <w:sz w:val="24"/>
          <w:lang w:bidi="ar"/>
        </w:rPr>
        <w:t>eGFR</w:t>
      </w:r>
      <w:r>
        <w:rPr>
          <w:rFonts w:ascii="Times New Roman" w:hAnsi="Times New Roman" w:cs="Times New Roman"/>
          <w:color w:val="auto"/>
          <w:sz w:val="24"/>
        </w:rPr>
        <w:t>, Model III includes Model II</w:t>
      </w:r>
      <w:r>
        <w:rPr>
          <w:rFonts w:hint="eastAsia" w:ascii="Times New Roman" w:hAnsi="Times New Roman" w:cs="Times New Roman"/>
          <w:color w:val="auto"/>
          <w:sz w:val="24"/>
          <w:lang w:val="en-US" w:eastAsia="zh-CN"/>
        </w:rPr>
        <w:t xml:space="preserve"> and </w:t>
      </w:r>
      <w:r>
        <w:rPr>
          <w:rFonts w:ascii="Times New Roman" w:hAnsi="Times New Roman" w:cs="Times New Roman"/>
          <w:color w:val="auto"/>
          <w:sz w:val="24"/>
        </w:rPr>
        <w:t>ALT</w:t>
      </w:r>
      <w:r>
        <w:rPr>
          <w:rFonts w:ascii="Times New Roman" w:hAnsi="Times New Roman" w:eastAsia="宋体" w:cs="Times New Roman"/>
          <w:bCs/>
          <w:color w:val="auto"/>
          <w:kern w:val="0"/>
          <w:sz w:val="24"/>
          <w:lang w:bidi="ar"/>
        </w:rPr>
        <w:t xml:space="preserve">, eGFR, HGB, RBC, </w:t>
      </w:r>
      <w:r>
        <w:rPr>
          <w:rFonts w:ascii="Times New Roman" w:hAnsi="Times New Roman" w:cs="Times New Roman"/>
          <w:color w:val="auto"/>
          <w:sz w:val="24"/>
        </w:rPr>
        <w:t>LYMPH</w:t>
      </w:r>
      <w:r>
        <w:rPr>
          <w:rFonts w:ascii="Times New Roman" w:hAnsi="Times New Roman" w:cs="Times New Roman"/>
          <w:bCs/>
          <w:color w:val="auto"/>
          <w:kern w:val="0"/>
          <w:sz w:val="24"/>
          <w:lang w:bidi="ar"/>
        </w:rPr>
        <w:t xml:space="preserve">, </w:t>
      </w:r>
      <w:r>
        <w:rPr>
          <w:rFonts w:ascii="Times New Roman" w:hAnsi="Times New Roman" w:cs="Times New Roman"/>
          <w:color w:val="auto"/>
          <w:sz w:val="24"/>
        </w:rPr>
        <w:t>LYMPH%</w:t>
      </w:r>
      <w:r>
        <w:rPr>
          <w:rFonts w:ascii="Times New Roman" w:hAnsi="Times New Roman" w:cs="Times New Roman"/>
          <w:bCs/>
          <w:color w:val="auto"/>
          <w:kern w:val="0"/>
          <w:sz w:val="24"/>
          <w:lang w:bidi="ar"/>
        </w:rPr>
        <w:t xml:space="preserve">, </w:t>
      </w:r>
      <w:r>
        <w:rPr>
          <w:rFonts w:ascii="Times New Roman" w:hAnsi="Times New Roman" w:cs="Times New Roman"/>
          <w:color w:val="auto"/>
          <w:sz w:val="24"/>
        </w:rPr>
        <w:t>N/L ratio</w:t>
      </w:r>
      <w:r>
        <w:rPr>
          <w:rFonts w:ascii="Times New Roman" w:hAnsi="Times New Roman" w:eastAsia="宋体" w:cs="Times New Roman"/>
          <w:bCs/>
          <w:color w:val="auto"/>
          <w:kern w:val="0"/>
          <w:sz w:val="24"/>
          <w:lang w:bidi="ar"/>
        </w:rPr>
        <w:t xml:space="preserve">, </w:t>
      </w:r>
      <w:r>
        <w:rPr>
          <w:rFonts w:ascii="Times New Roman" w:hAnsi="Times New Roman" w:cs="Times New Roman"/>
          <w:color w:val="auto"/>
          <w:sz w:val="24"/>
        </w:rPr>
        <w:t>P/L ratio</w:t>
      </w:r>
      <w:r>
        <w:rPr>
          <w:rFonts w:ascii="Times New Roman" w:hAnsi="Times New Roman" w:eastAsia="宋体" w:cs="Times New Roman"/>
          <w:bCs/>
          <w:color w:val="auto"/>
          <w:kern w:val="0"/>
          <w:sz w:val="24"/>
          <w:lang w:bidi="ar"/>
        </w:rPr>
        <w:t xml:space="preserve">, HDL-C , LDL-C , TG , ALB, UREA, HCY, GLU, SBP, DBP, diabetes mellitus, coronary heart disease. </w:t>
      </w:r>
      <w:r>
        <w:rPr>
          <w:rFonts w:hint="eastAsia" w:ascii="Times New Roman" w:hAnsi="Times New Roman" w:eastAsia="宋体" w:cs="Times New Roman"/>
          <w:bCs/>
          <w:color w:val="auto"/>
          <w:kern w:val="0"/>
          <w:sz w:val="24"/>
          <w:lang w:bidi="ar"/>
        </w:rPr>
        <w:t>The p-values shown have undergone Benjamini–Hochberg multiple testing correction.</w:t>
      </w:r>
    </w:p>
    <w:p w14:paraId="0AE8B1A7">
      <w:pPr>
        <w:rPr>
          <w:color w:val="auto"/>
        </w:rPr>
      </w:pPr>
    </w:p>
    <w:p w14:paraId="5E4E4365">
      <w:pPr>
        <w:rPr>
          <w:color w:val="auto"/>
        </w:rPr>
      </w:pPr>
    </w:p>
    <w:p w14:paraId="5F0EE6B5">
      <w:pPr>
        <w:rPr>
          <w:color w:val="auto"/>
        </w:rPr>
      </w:pPr>
    </w:p>
    <w:p w14:paraId="40BD4C0D">
      <w:pPr>
        <w:rPr>
          <w:color w:val="auto"/>
        </w:rPr>
      </w:pPr>
    </w:p>
    <w:p w14:paraId="0DC706E1">
      <w:pPr>
        <w:rPr>
          <w:color w:val="auto"/>
        </w:rPr>
      </w:pPr>
    </w:p>
    <w:p w14:paraId="1669FDDF">
      <w:pPr>
        <w:rPr>
          <w:color w:val="auto"/>
        </w:rPr>
      </w:pPr>
    </w:p>
    <w:p w14:paraId="26D04244">
      <w:pPr>
        <w:rPr>
          <w:color w:val="auto"/>
        </w:rPr>
      </w:pPr>
    </w:p>
    <w:p w14:paraId="35B48390">
      <w:pPr>
        <w:rPr>
          <w:color w:val="auto"/>
        </w:rPr>
      </w:pPr>
    </w:p>
    <w:p w14:paraId="0BC326FF">
      <w:pPr>
        <w:rPr>
          <w:color w:val="auto"/>
        </w:rPr>
      </w:pPr>
    </w:p>
    <w:p w14:paraId="422F4E63">
      <w:pPr>
        <w:rPr>
          <w:color w:val="auto"/>
        </w:rPr>
      </w:pPr>
    </w:p>
    <w:p w14:paraId="54251569">
      <w:pPr>
        <w:rPr>
          <w:color w:val="auto"/>
        </w:rPr>
      </w:pPr>
    </w:p>
    <w:p w14:paraId="20D778F1">
      <w:pPr>
        <w:rPr>
          <w:color w:val="auto"/>
        </w:rPr>
      </w:pPr>
    </w:p>
    <w:p w14:paraId="58B509B4">
      <w:pPr>
        <w:rPr>
          <w:color w:val="auto"/>
        </w:rPr>
      </w:pPr>
    </w:p>
    <w:p w14:paraId="40638F18">
      <w:pPr>
        <w:rPr>
          <w:color w:val="auto"/>
        </w:rPr>
      </w:pPr>
    </w:p>
    <w:p w14:paraId="57B04184">
      <w:pPr>
        <w:rPr>
          <w:color w:val="auto"/>
        </w:rPr>
      </w:pPr>
    </w:p>
    <w:p w14:paraId="6E8182AE">
      <w:pPr>
        <w:rPr>
          <w:color w:val="auto"/>
        </w:rPr>
      </w:pPr>
    </w:p>
    <w:p w14:paraId="6D16000F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7368540" cy="3171190"/>
            <wp:effectExtent l="0" t="0" r="3810" b="635"/>
            <wp:docPr id="20" name="图片 20" descr="残差偏相关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残差偏相关图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685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C729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  <w:t>Supplementary Figure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vertAlign w:val="baseline"/>
          <w:lang w:val="en-US" w:eastAsia="zh-CN"/>
        </w:rPr>
        <w:t xml:space="preserve"> 9.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t>Residual partial correlation plots (</w:t>
      </w:r>
      <w:r>
        <w:rPr>
          <w:rFonts w:ascii="Times New Roman" w:hAnsi="Times New Roman" w:cs="Times New Roman"/>
          <w:color w:val="auto"/>
          <w:sz w:val="24"/>
        </w:rPr>
        <w:t>Spearman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t>) illustrating the relationships of three EV-mtDNA targets (A: MT-ND1, B: Dloop, C: MT-CO3) with five brain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t>aging biomarkers, after removing the effects of age, eGFR, and sex. Each panel displays the partial correlation coefficients (and data spread) for one mtDNA gene against all biomarkers: amyloid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t>beta 40 (Aβ40), Aβ42/Aβ40 ratio, amyloid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t>beta 42 (Aβ42), neurofilament light chain (NfL), and phosphorylated Tau181 (p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t>Tau181).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vertAlign w:val="baseline"/>
          <w:lang w:val="en-US" w:eastAsia="zh-CN"/>
        </w:rPr>
        <w:t xml:space="preserve"> The p-values shown have undergone Benjamini–Hochberg multiple testing correction.</w:t>
      </w:r>
    </w:p>
    <w:p w14:paraId="29DA0CB6">
      <w:pPr>
        <w:rPr>
          <w:color w:val="auto"/>
        </w:rPr>
      </w:pPr>
    </w:p>
    <w:bookmarkEnd w:id="2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83DC6"/>
    <w:rsid w:val="06383DC6"/>
    <w:rsid w:val="18767CB3"/>
    <w:rsid w:val="280D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EndNote Bibliography"/>
    <w:basedOn w:val="1"/>
    <w:qFormat/>
    <w:uiPriority w:val="0"/>
    <w:pPr>
      <w:ind w:left="200" w:hanging="200" w:hangingChars="200"/>
    </w:pPr>
    <w:rPr>
      <w:rFonts w:eastAsia="Times New Roman"/>
      <w:sz w:val="20"/>
    </w:rPr>
  </w:style>
  <w:style w:type="character" w:customStyle="1" w:styleId="6">
    <w:name w:val="font11"/>
    <w:basedOn w:val="4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7">
    <w:name w:val="font21"/>
    <w:basedOn w:val="4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298</Words>
  <Characters>1478</Characters>
  <Lines>0</Lines>
  <Paragraphs>0</Paragraphs>
  <TotalTime>0</TotalTime>
  <ScaleCrop>false</ScaleCrop>
  <LinksUpToDate>false</LinksUpToDate>
  <CharactersWithSpaces>1697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2026-01-01T13:31:00Z</dcterms:created>
  <dc:creator>WPS_1755567823</dc:creator>
  <cp:lastModifiedBy>WPS_1755567823</cp:lastModifiedBy>
  <dcterms:modified xsi:type="dcterms:W3CDTF">2026-01-03T12:11:44Z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CDF976A4EE584E9FA85D8F5BF32513A5_11</vt:lpwstr>
  </property>
  <property fmtid="{D5CDD505-2E9C-101B-9397-08002B2CF9AE}" pid="4" name="KSOTemplateDocerSaveRecord">
    <vt:lpwstr>eyJoZGlkIjoiYmFkZDg4Y2NhMThjMGRjN2QwZGY5NTY3MDhkMDVhN2IiLCJ1c2VySWQiOiIxNzMwMzY2NzcyIn0=</vt:lpwstr>
  </property>
</Properties>
</file>