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E836" w14:textId="77777777" w:rsidR="000E321E" w:rsidRPr="00333D41" w:rsidRDefault="00000000" w:rsidP="00333D41">
      <w:pPr>
        <w:spacing w:after="60" w:line="480" w:lineRule="auto"/>
        <w:jc w:val="center"/>
        <w:rPr>
          <w:rFonts w:ascii="Times New Roman" w:hAnsi="Times New Roman" w:cs="Times New Roman"/>
          <w:color w:val="000000" w:themeColor="text1"/>
        </w:rPr>
      </w:pPr>
      <w:r w:rsidRPr="00333D41">
        <w:rPr>
          <w:rFonts w:ascii="Times New Roman" w:hAnsi="Times New Roman" w:cs="Times New Roman"/>
          <w:b/>
          <w:bCs/>
          <w:color w:val="000000" w:themeColor="text1"/>
        </w:rPr>
        <w:t>ÍNDICE DE POBREZA MULTIDIMENSIONAL Y VÍCTIMAS DEL CONFLICTO ARMADO:</w:t>
      </w:r>
    </w:p>
    <w:p w14:paraId="1222278D" w14:textId="77777777" w:rsidR="000E321E" w:rsidRPr="00333D41" w:rsidRDefault="00000000" w:rsidP="00333D41">
      <w:pPr>
        <w:spacing w:after="240" w:line="480" w:lineRule="auto"/>
        <w:jc w:val="center"/>
        <w:rPr>
          <w:rFonts w:ascii="Times New Roman" w:hAnsi="Times New Roman" w:cs="Times New Roman"/>
          <w:color w:val="000000" w:themeColor="text1"/>
        </w:rPr>
      </w:pPr>
      <w:r w:rsidRPr="00333D41">
        <w:rPr>
          <w:rFonts w:ascii="Times New Roman" w:hAnsi="Times New Roman" w:cs="Times New Roman"/>
          <w:b/>
          <w:bCs/>
          <w:color w:val="000000" w:themeColor="text1"/>
        </w:rPr>
        <w:t>UN ANÁLISIS DE SUS CARACTERÍSTICAS SOCIOECONÓMICAS EN LOS DEPARTAMENTOS DE COLOMBIA, 2023–2025</w:t>
      </w:r>
    </w:p>
    <w:p w14:paraId="43540E16" w14:textId="77777777" w:rsidR="000E321E" w:rsidRPr="00333D41" w:rsidRDefault="000E321E" w:rsidP="00333D41">
      <w:pPr>
        <w:pBdr>
          <w:bottom w:val="single" w:sz="4" w:space="1" w:color="1F3864"/>
        </w:pBdr>
        <w:spacing w:before="80" w:after="80" w:line="480" w:lineRule="auto"/>
        <w:jc w:val="both"/>
        <w:rPr>
          <w:rFonts w:ascii="Times New Roman" w:hAnsi="Times New Roman" w:cs="Times New Roman"/>
        </w:rPr>
      </w:pPr>
    </w:p>
    <w:p w14:paraId="0AAD2EDF" w14:textId="77777777" w:rsidR="000E321E" w:rsidRDefault="00000000" w:rsidP="00B97109">
      <w:pPr>
        <w:spacing w:before="200" w:after="60" w:line="360" w:lineRule="auto"/>
        <w:jc w:val="center"/>
        <w:rPr>
          <w:rFonts w:ascii="Times New Roman" w:hAnsi="Times New Roman" w:cs="Times New Roman"/>
          <w:b/>
          <w:bCs/>
        </w:rPr>
      </w:pPr>
      <w:r w:rsidRPr="00333D41">
        <w:rPr>
          <w:rFonts w:ascii="Times New Roman" w:hAnsi="Times New Roman" w:cs="Times New Roman"/>
          <w:b/>
          <w:bCs/>
        </w:rPr>
        <w:t>Yeimy Katteryne Gutiérrez Valderrama</w:t>
      </w:r>
    </w:p>
    <w:p w14:paraId="7F1D0BD8" w14:textId="279EB3E6" w:rsidR="00B97109" w:rsidRPr="00333D41" w:rsidRDefault="00B97109" w:rsidP="00333D41">
      <w:pPr>
        <w:spacing w:before="200" w:after="60" w:line="480" w:lineRule="auto"/>
        <w:jc w:val="center"/>
        <w:rPr>
          <w:rFonts w:ascii="Times New Roman" w:hAnsi="Times New Roman" w:cs="Times New Roman"/>
        </w:rPr>
      </w:pPr>
      <w:r>
        <w:rPr>
          <w:rFonts w:ascii="Times New Roman" w:hAnsi="Times New Roman" w:cs="Times New Roman"/>
          <w:b/>
          <w:bCs/>
        </w:rPr>
        <w:t>Yurley Lizcano Bonilla</w:t>
      </w:r>
    </w:p>
    <w:p w14:paraId="645A3907" w14:textId="77777777" w:rsidR="000E321E" w:rsidRPr="00333D41" w:rsidRDefault="00000000" w:rsidP="00333D41">
      <w:pPr>
        <w:spacing w:after="40" w:line="480" w:lineRule="auto"/>
        <w:jc w:val="center"/>
        <w:rPr>
          <w:rFonts w:ascii="Times New Roman" w:hAnsi="Times New Roman" w:cs="Times New Roman"/>
        </w:rPr>
      </w:pPr>
      <w:r w:rsidRPr="00333D41">
        <w:rPr>
          <w:rFonts w:ascii="Times New Roman" w:hAnsi="Times New Roman" w:cs="Times New Roman"/>
          <w:i/>
          <w:iCs/>
          <w:color w:val="444444"/>
        </w:rPr>
        <w:t>Programa de Economía — Universidad Surcolombiana</w:t>
      </w:r>
    </w:p>
    <w:p w14:paraId="6D434FC1" w14:textId="77777777" w:rsidR="000E321E" w:rsidRPr="00333D41" w:rsidRDefault="000E321E" w:rsidP="00333D41">
      <w:pPr>
        <w:pBdr>
          <w:bottom w:val="single" w:sz="4" w:space="1" w:color="1F3864"/>
        </w:pBdr>
        <w:spacing w:before="80" w:after="80" w:line="480" w:lineRule="auto"/>
        <w:jc w:val="both"/>
        <w:rPr>
          <w:rFonts w:ascii="Times New Roman" w:hAnsi="Times New Roman" w:cs="Times New Roman"/>
        </w:rPr>
      </w:pPr>
    </w:p>
    <w:p w14:paraId="4A578E88" w14:textId="77777777" w:rsidR="000E321E" w:rsidRPr="00333D41" w:rsidRDefault="00000000" w:rsidP="00333D41">
      <w:pPr>
        <w:pStyle w:val="Ttulo1"/>
        <w:spacing w:line="360" w:lineRule="auto"/>
      </w:pPr>
      <w:r w:rsidRPr="00333D41">
        <w:t>Resumen</w:t>
      </w:r>
    </w:p>
    <w:p w14:paraId="09B4FFB0" w14:textId="77777777" w:rsidR="0090558F" w:rsidRPr="0090558F" w:rsidRDefault="0090558F" w:rsidP="0090558F">
      <w:pPr>
        <w:spacing w:after="60" w:line="480" w:lineRule="auto"/>
        <w:jc w:val="both"/>
        <w:rPr>
          <w:rFonts w:ascii="Times New Roman" w:hAnsi="Times New Roman" w:cs="Times New Roman"/>
        </w:rPr>
      </w:pPr>
      <w:r w:rsidRPr="0090558F">
        <w:rPr>
          <w:rFonts w:ascii="Times New Roman" w:hAnsi="Times New Roman" w:cs="Times New Roman"/>
        </w:rPr>
        <w:t>Durante más de seis décadas, el conflicto armado ha dejado una huella profunda sobre el bienestar de los departamentos colombianos, pero cuantificar esa huella exige separar lo que produce el conflicto de lo que producen las condiciones estructurales del territorio. Este artículo aborda ese problema usando un panel balanceado de los 33 departamentos de Colombia para el período 2023–2025, el primero con información simultánea del IPM departamental del DANE y los boletines consolidados de la Unidad para las Víctimas. La variable dependiente es el IPM y la variable de interés es el número acumulado de víctimas, transformado en logaritmo. De 137 indicadores del Índice de Competitividad Departamental (IDC), el método LASSO retuvo 29 como variables de control. Se estimaron tres modelos —</w:t>
      </w:r>
      <w:proofErr w:type="spellStart"/>
      <w:r w:rsidRPr="0090558F">
        <w:rPr>
          <w:rFonts w:ascii="Times New Roman" w:hAnsi="Times New Roman" w:cs="Times New Roman"/>
        </w:rPr>
        <w:t>Pooled</w:t>
      </w:r>
      <w:proofErr w:type="spellEnd"/>
      <w:r w:rsidRPr="0090558F">
        <w:rPr>
          <w:rFonts w:ascii="Times New Roman" w:hAnsi="Times New Roman" w:cs="Times New Roman"/>
        </w:rPr>
        <w:t xml:space="preserve"> OLS, efectos fijos y efectos aleatorios— y </w:t>
      </w:r>
      <w:proofErr w:type="gramStart"/>
      <w:r w:rsidRPr="0090558F">
        <w:rPr>
          <w:rFonts w:ascii="Times New Roman" w:hAnsi="Times New Roman" w:cs="Times New Roman"/>
        </w:rPr>
        <w:t>el test</w:t>
      </w:r>
      <w:proofErr w:type="gramEnd"/>
      <w:r w:rsidRPr="0090558F">
        <w:rPr>
          <w:rFonts w:ascii="Times New Roman" w:hAnsi="Times New Roman" w:cs="Times New Roman"/>
        </w:rPr>
        <w:t xml:space="preserve"> de Hausman (H = 71,81; p &lt; 0,001) favoreció efectos fijos como estimador consistente.</w:t>
      </w:r>
    </w:p>
    <w:p w14:paraId="56942EC4" w14:textId="0DD2F5DD" w:rsidR="0090558F" w:rsidRPr="0090558F" w:rsidRDefault="0090558F" w:rsidP="0090558F">
      <w:pPr>
        <w:spacing w:after="60" w:line="480" w:lineRule="auto"/>
        <w:jc w:val="both"/>
        <w:rPr>
          <w:rFonts w:ascii="Times New Roman" w:hAnsi="Times New Roman" w:cs="Times New Roman"/>
        </w:rPr>
      </w:pPr>
      <w:r w:rsidRPr="0090558F">
        <w:rPr>
          <w:rFonts w:ascii="Times New Roman" w:hAnsi="Times New Roman" w:cs="Times New Roman"/>
        </w:rPr>
        <w:lastRenderedPageBreak/>
        <w:t xml:space="preserve">El coeficiente de víctimas es positivo en las tres especificaciones, pero no alcanza significancia estadística, lo que no contradice la </w:t>
      </w:r>
      <w:proofErr w:type="gramStart"/>
      <w:r w:rsidRPr="0090558F">
        <w:rPr>
          <w:rFonts w:ascii="Times New Roman" w:hAnsi="Times New Roman" w:cs="Times New Roman"/>
        </w:rPr>
        <w:t>hipótesis</w:t>
      </w:r>
      <w:proofErr w:type="gramEnd"/>
      <w:r w:rsidRPr="0090558F">
        <w:rPr>
          <w:rFonts w:ascii="Times New Roman" w:hAnsi="Times New Roman" w:cs="Times New Roman"/>
        </w:rPr>
        <w:t xml:space="preserve"> sino que señala que el conflicto opera sobre la pobreza a través de canales intermedios más que de forma directa. Esos canales sí son identificables: la tasa de homicidios, la afiliación al régimen subsidiado de salud, la cobertura eléctrica, la calidad educativa y la informalidad laboral muestran efectos robustos sobre el IPM. La brecha territorial entre el departamento con mayor y menor IPM supera los 68 puntos porcentuales. Reducirla requiere intervenciones simultáneas en todas las dimensiones del índice, no solo atención de emergencia.</w:t>
      </w:r>
    </w:p>
    <w:p w14:paraId="7D79B372" w14:textId="77777777" w:rsidR="0090558F" w:rsidRDefault="0090558F" w:rsidP="0090558F">
      <w:pPr>
        <w:spacing w:after="60" w:line="480" w:lineRule="auto"/>
        <w:jc w:val="both"/>
        <w:rPr>
          <w:rFonts w:ascii="Times New Roman" w:hAnsi="Times New Roman" w:cs="Times New Roman"/>
        </w:rPr>
      </w:pPr>
      <w:r w:rsidRPr="0090558F">
        <w:rPr>
          <w:rFonts w:ascii="Times New Roman" w:hAnsi="Times New Roman" w:cs="Times New Roman"/>
          <w:b/>
          <w:bCs/>
        </w:rPr>
        <w:t>Palabras clave:</w:t>
      </w:r>
      <w:r w:rsidRPr="0090558F">
        <w:rPr>
          <w:rFonts w:ascii="Times New Roman" w:hAnsi="Times New Roman" w:cs="Times New Roman"/>
        </w:rPr>
        <w:t xml:space="preserve"> pobreza multidimensional, conflicto armado, datos de panel, Colombia, IDC, LASSO.</w:t>
      </w:r>
    </w:p>
    <w:p w14:paraId="659DDCA7" w14:textId="206929EA" w:rsidR="000E321E" w:rsidRPr="00333D41" w:rsidRDefault="00000000" w:rsidP="0090558F">
      <w:pPr>
        <w:spacing w:after="60" w:line="480" w:lineRule="auto"/>
        <w:jc w:val="both"/>
        <w:rPr>
          <w:rFonts w:ascii="Times New Roman" w:hAnsi="Times New Roman" w:cs="Times New Roman"/>
        </w:rPr>
      </w:pPr>
      <w:r w:rsidRPr="00333D41">
        <w:rPr>
          <w:rFonts w:ascii="Times New Roman" w:hAnsi="Times New Roman" w:cs="Times New Roman"/>
          <w:b/>
          <w:bCs/>
        </w:rPr>
        <w:t xml:space="preserve">Clasificación JEL: </w:t>
      </w:r>
      <w:r w:rsidRPr="00333D41">
        <w:rPr>
          <w:rFonts w:ascii="Times New Roman" w:hAnsi="Times New Roman" w:cs="Times New Roman"/>
        </w:rPr>
        <w:t>I32, O15, C23, D74.</w:t>
      </w:r>
    </w:p>
    <w:p w14:paraId="7426D45F" w14:textId="77777777" w:rsidR="000E321E" w:rsidRPr="00333D41" w:rsidRDefault="000E321E" w:rsidP="00333D41">
      <w:pPr>
        <w:pBdr>
          <w:bottom w:val="single" w:sz="4" w:space="1" w:color="1F3864"/>
        </w:pBdr>
        <w:spacing w:before="80" w:after="80" w:line="480" w:lineRule="auto"/>
        <w:jc w:val="both"/>
        <w:rPr>
          <w:rFonts w:ascii="Times New Roman" w:hAnsi="Times New Roman" w:cs="Times New Roman"/>
        </w:rPr>
      </w:pPr>
    </w:p>
    <w:p w14:paraId="10AE3B53" w14:textId="77777777" w:rsidR="000E321E" w:rsidRPr="00333D41" w:rsidRDefault="00000000" w:rsidP="00333D41">
      <w:pPr>
        <w:pStyle w:val="Ttulo1"/>
        <w:spacing w:line="360" w:lineRule="auto"/>
        <w:rPr>
          <w:lang w:val="en-US"/>
        </w:rPr>
      </w:pPr>
      <w:r w:rsidRPr="00333D41">
        <w:rPr>
          <w:lang w:val="en-US"/>
        </w:rPr>
        <w:t>Abstract</w:t>
      </w:r>
    </w:p>
    <w:p w14:paraId="0AE4F1DD" w14:textId="77777777" w:rsidR="00B90931" w:rsidRPr="00B90931" w:rsidRDefault="00B90931" w:rsidP="00B90931">
      <w:pPr>
        <w:pBdr>
          <w:bottom w:val="single" w:sz="4" w:space="1" w:color="1F3864"/>
        </w:pBdr>
        <w:spacing w:before="80" w:after="80" w:line="480" w:lineRule="auto"/>
        <w:jc w:val="both"/>
        <w:rPr>
          <w:rFonts w:ascii="Times New Roman" w:hAnsi="Times New Roman" w:cs="Times New Roman"/>
          <w:lang w:val="en-US"/>
        </w:rPr>
      </w:pPr>
      <w:r w:rsidRPr="00B90931">
        <w:rPr>
          <w:rFonts w:ascii="Times New Roman" w:hAnsi="Times New Roman" w:cs="Times New Roman"/>
          <w:lang w:val="en-US"/>
        </w:rPr>
        <w:t xml:space="preserve">Colombia has been registering conflict victims for </w:t>
      </w:r>
      <w:proofErr w:type="gramStart"/>
      <w:r w:rsidRPr="00B90931">
        <w:rPr>
          <w:rFonts w:ascii="Times New Roman" w:hAnsi="Times New Roman" w:cs="Times New Roman"/>
          <w:lang w:val="en-US"/>
        </w:rPr>
        <w:t>decades, yet</w:t>
      </w:r>
      <w:proofErr w:type="gramEnd"/>
      <w:r w:rsidRPr="00B90931">
        <w:rPr>
          <w:rFonts w:ascii="Times New Roman" w:hAnsi="Times New Roman" w:cs="Times New Roman"/>
          <w:lang w:val="en-US"/>
        </w:rPr>
        <w:t xml:space="preserve"> understanding how armed conflict shapes multidimensional poverty at the departmental level remains an open empirical question. This article tackles that gap using a balanced panel of all 33 Colombian departments over 2023–2025 — the first period for which the Victims Unit publishes consolidated departmental bulletins alongside DANE's MPI estimates. The dependent variable is the departmental MPI, and the key regressor is the log-transformed cumulative victim count. From an initial pool of 137 indicators drawn from the Departmental Competitiveness Index (IDC), LASSO regularization retained 29 control variables. Pooled OLS, fixed effects, and random effects specifications were estimated; the Hausman test (H = 71.81, p &lt; 0.001) favored fixed effects as the consistent estimator.</w:t>
      </w:r>
    </w:p>
    <w:p w14:paraId="0C1F6668" w14:textId="77777777" w:rsidR="00B90931" w:rsidRPr="00B90931" w:rsidRDefault="00B90931" w:rsidP="00B90931">
      <w:pPr>
        <w:pBdr>
          <w:bottom w:val="single" w:sz="4" w:space="1" w:color="1F3864"/>
        </w:pBdr>
        <w:spacing w:before="80" w:after="80" w:line="480" w:lineRule="auto"/>
        <w:jc w:val="both"/>
        <w:rPr>
          <w:rFonts w:ascii="Times New Roman" w:hAnsi="Times New Roman" w:cs="Times New Roman"/>
          <w:lang w:val="en-US"/>
        </w:rPr>
      </w:pPr>
      <w:r w:rsidRPr="00B90931">
        <w:rPr>
          <w:rFonts w:ascii="Times New Roman" w:hAnsi="Times New Roman" w:cs="Times New Roman"/>
          <w:lang w:val="en-US"/>
        </w:rPr>
        <w:lastRenderedPageBreak/>
        <w:t xml:space="preserve">The victim count carries a positive coefficient across all three models, consistent with the research hypothesis, but falls short of statistical significance </w:t>
      </w:r>
      <w:proofErr w:type="gramStart"/>
      <w:r w:rsidRPr="00B90931">
        <w:rPr>
          <w:rFonts w:ascii="Times New Roman" w:hAnsi="Times New Roman" w:cs="Times New Roman"/>
          <w:lang w:val="en-US"/>
        </w:rPr>
        <w:t>— a finding</w:t>
      </w:r>
      <w:proofErr w:type="gramEnd"/>
      <w:r w:rsidRPr="00B90931">
        <w:rPr>
          <w:rFonts w:ascii="Times New Roman" w:hAnsi="Times New Roman" w:cs="Times New Roman"/>
          <w:lang w:val="en-US"/>
        </w:rPr>
        <w:t xml:space="preserve"> that points to the indirect nature of conflict's influence on poverty rather than contradicting it. What does reach significance are the structural channels through which conflict </w:t>
      </w:r>
      <w:proofErr w:type="gramStart"/>
      <w:r w:rsidRPr="00B90931">
        <w:rPr>
          <w:rFonts w:ascii="Times New Roman" w:hAnsi="Times New Roman" w:cs="Times New Roman"/>
          <w:lang w:val="en-US"/>
        </w:rPr>
        <w:t>operates</w:t>
      </w:r>
      <w:proofErr w:type="gramEnd"/>
      <w:r w:rsidRPr="00B90931">
        <w:rPr>
          <w:rFonts w:ascii="Times New Roman" w:hAnsi="Times New Roman" w:cs="Times New Roman"/>
          <w:lang w:val="en-US"/>
        </w:rPr>
        <w:t>: the homicide rate, subsidized healthcare enrollment, electricity coverage, secondary education quality, and labor informality. Territorial disparities are stark, with a gap above 68 percentage points separating the highest and lowest MPI departments. These results suggest that reducing multidimensional poverty in conflict-affected territories demands coordinated intervention across all MPI dimensions at once, not emergency assistance alone.</w:t>
      </w:r>
    </w:p>
    <w:p w14:paraId="02221296" w14:textId="75F71BD3" w:rsidR="00B90931" w:rsidRDefault="00B90931" w:rsidP="00034171">
      <w:pPr>
        <w:pBdr>
          <w:bottom w:val="single" w:sz="4" w:space="1" w:color="1F3864"/>
        </w:pBdr>
        <w:spacing w:before="80" w:after="80" w:line="480" w:lineRule="auto"/>
        <w:jc w:val="both"/>
        <w:rPr>
          <w:rFonts w:ascii="Times New Roman" w:hAnsi="Times New Roman" w:cs="Times New Roman"/>
          <w:lang w:val="en-US"/>
        </w:rPr>
      </w:pPr>
      <w:r w:rsidRPr="00B90931">
        <w:rPr>
          <w:rFonts w:ascii="Times New Roman" w:hAnsi="Times New Roman" w:cs="Times New Roman"/>
          <w:lang w:val="en-US"/>
        </w:rPr>
        <w:t>Keywords: multidimensional poverty, armed conflict, panel data, Colombia, IDC, LASSO.</w:t>
      </w:r>
    </w:p>
    <w:p w14:paraId="71985D93" w14:textId="77777777" w:rsidR="00034171" w:rsidRPr="00B90931" w:rsidRDefault="00034171" w:rsidP="00333D41">
      <w:pPr>
        <w:pStyle w:val="Ttulo1"/>
        <w:spacing w:line="360" w:lineRule="auto"/>
        <w:rPr>
          <w:rFonts w:cs="Times New Roman"/>
          <w:szCs w:val="24"/>
          <w:lang w:val="en-US"/>
        </w:rPr>
      </w:pPr>
    </w:p>
    <w:p w14:paraId="63772866" w14:textId="276F3D88" w:rsidR="000E321E" w:rsidRPr="00333D41" w:rsidRDefault="00000000" w:rsidP="00333D41">
      <w:pPr>
        <w:pStyle w:val="Ttulo1"/>
        <w:spacing w:line="360" w:lineRule="auto"/>
        <w:rPr>
          <w:rFonts w:cs="Times New Roman"/>
          <w:szCs w:val="24"/>
        </w:rPr>
      </w:pPr>
      <w:r w:rsidRPr="00333D41">
        <w:rPr>
          <w:rFonts w:cs="Times New Roman"/>
          <w:szCs w:val="24"/>
        </w:rPr>
        <w:t>Introducción</w:t>
      </w:r>
      <w:r w:rsidR="00333D41">
        <w:rPr>
          <w:rFonts w:cs="Times New Roman"/>
          <w:szCs w:val="24"/>
        </w:rPr>
        <w:t>.</w:t>
      </w:r>
    </w:p>
    <w:p w14:paraId="6D55ABCA" w14:textId="77777777" w:rsidR="000E321E" w:rsidRPr="00333D41" w:rsidRDefault="00000000" w:rsidP="00333D41">
      <w:pPr>
        <w:spacing w:after="180" w:line="480" w:lineRule="auto"/>
        <w:ind w:firstLine="709"/>
        <w:jc w:val="both"/>
        <w:rPr>
          <w:rFonts w:ascii="Times New Roman" w:hAnsi="Times New Roman" w:cs="Times New Roman"/>
        </w:rPr>
      </w:pPr>
      <w:r w:rsidRPr="00333D41">
        <w:rPr>
          <w:rFonts w:ascii="Times New Roman" w:hAnsi="Times New Roman" w:cs="Times New Roman"/>
        </w:rPr>
        <w:t>Colombia lleva más de seis décadas enfrentando uno de los conflictos armados internos más prolongados de América Latina. Según la Unidad para las Víctimas (2025), el país registra más de 10,5 millones de víctimas acumuladas a 2025, cifra equivalente a aproximadamente el 20% de la población total. De estas, más de siete millones corresponden a personas desplazadas internamente, lo que posiciona a Colombia entre los países con mayor desplazamiento forzado del mundo (ACNUR, 2023). Esta magnitud no es solo un dato humanitario: es también una variable económica con consecuencias estructurales sobre el bienestar de los territorios más afectados.</w:t>
      </w:r>
    </w:p>
    <w:p w14:paraId="0AAC6351" w14:textId="77777777" w:rsidR="000E321E" w:rsidRPr="00333D41" w:rsidRDefault="00000000" w:rsidP="00333D41">
      <w:pPr>
        <w:spacing w:after="180" w:line="480" w:lineRule="auto"/>
        <w:ind w:firstLine="709"/>
        <w:jc w:val="both"/>
        <w:rPr>
          <w:rFonts w:ascii="Times New Roman" w:hAnsi="Times New Roman" w:cs="Times New Roman"/>
        </w:rPr>
      </w:pPr>
      <w:r w:rsidRPr="00333D41">
        <w:rPr>
          <w:rFonts w:ascii="Times New Roman" w:hAnsi="Times New Roman" w:cs="Times New Roman"/>
        </w:rPr>
        <w:t xml:space="preserve">Al mismo tiempo, la pobreza multidimensional exhibe brechas territoriales profundas y persistentes. Mientras departamentos como Bogotá y Atlántico reportan tasas de IPM inferiores al 10%, departamentos como Chocó, La Guajira y Vaupés superan el 60%, concentrando las mayores </w:t>
      </w:r>
      <w:r w:rsidRPr="00333D41">
        <w:rPr>
          <w:rFonts w:ascii="Times New Roman" w:hAnsi="Times New Roman" w:cs="Times New Roman"/>
        </w:rPr>
        <w:lastRenderedPageBreak/>
        <w:t>privaciones simultáneas en salud, educación, trabajo y vivienda (DANE, 2023). No es casual que los departamentos con mayor pobreza multidimensional sean, en su mayoría, aquellos con mayor histórico de presencia de grupos armados ilegales, desplazamiento forzado y débil presencia estatal.</w:t>
      </w:r>
    </w:p>
    <w:p w14:paraId="126AC284" w14:textId="77777777" w:rsidR="000E321E" w:rsidRPr="00333D41" w:rsidRDefault="00000000" w:rsidP="00333D41">
      <w:pPr>
        <w:spacing w:after="180" w:line="480" w:lineRule="auto"/>
        <w:ind w:firstLine="709"/>
        <w:jc w:val="both"/>
        <w:rPr>
          <w:rFonts w:ascii="Times New Roman" w:hAnsi="Times New Roman" w:cs="Times New Roman"/>
        </w:rPr>
      </w:pPr>
      <w:r w:rsidRPr="00333D41">
        <w:rPr>
          <w:rFonts w:ascii="Times New Roman" w:hAnsi="Times New Roman" w:cs="Times New Roman"/>
        </w:rPr>
        <w:t>La pobreza multidimensional se ha consolidado como enfoque integral para analizar condiciones de bienestar, trascendiendo las limitaciones de las medidas basadas únicamente en el ingreso. El desplazamiento forzado es una de sus principales manifestaciones en Colombia: un conflicto armado prolongado ha generado profundas afectaciones sociales, económicas y territoriales que han limitado directamente el acceso a servicios básicos, oportunidades económicas y calidad de vida, configurando escenarios de alta vulnerabilidad en múltiples regiones del país.</w:t>
      </w:r>
    </w:p>
    <w:p w14:paraId="24B4FC40" w14:textId="77777777" w:rsidR="000E321E" w:rsidRPr="00333D41" w:rsidRDefault="00000000" w:rsidP="00333D41">
      <w:pPr>
        <w:spacing w:after="180" w:line="480" w:lineRule="auto"/>
        <w:ind w:firstLine="709"/>
        <w:jc w:val="both"/>
        <w:rPr>
          <w:rFonts w:ascii="Times New Roman" w:hAnsi="Times New Roman" w:cs="Times New Roman"/>
        </w:rPr>
      </w:pPr>
      <w:r w:rsidRPr="00333D41">
        <w:rPr>
          <w:rFonts w:ascii="Times New Roman" w:hAnsi="Times New Roman" w:cs="Times New Roman"/>
        </w:rPr>
        <w:t xml:space="preserve">Este artículo contribuye a la comprensión de esta relación mediante tres aportes. Primero, utiliza un panel de datos balanceado de 33 departamentos para el período 2023–2025, el más reciente con información simultánea de víctimas e IPM. Segundo, aplica el método LASSO para seleccionar de forma rigurosa las variables de control del IDC entre 137 indicadores disponibles. Tercero, contrasta tres especificaciones econométricas y aplica </w:t>
      </w:r>
      <w:proofErr w:type="gramStart"/>
      <w:r w:rsidRPr="00333D41">
        <w:rPr>
          <w:rFonts w:ascii="Times New Roman" w:hAnsi="Times New Roman" w:cs="Times New Roman"/>
        </w:rPr>
        <w:t>el test</w:t>
      </w:r>
      <w:proofErr w:type="gramEnd"/>
      <w:r w:rsidRPr="00333D41">
        <w:rPr>
          <w:rFonts w:ascii="Times New Roman" w:hAnsi="Times New Roman" w:cs="Times New Roman"/>
        </w:rPr>
        <w:t xml:space="preserve"> de Hausman siguiendo la práctica estándar en econometría de panel (Wooldridge, 2010).</w:t>
      </w:r>
    </w:p>
    <w:p w14:paraId="4E3DE2DD" w14:textId="0E13A53B" w:rsidR="000E321E" w:rsidRDefault="00EE299B" w:rsidP="00333D41">
      <w:pPr>
        <w:spacing w:after="180" w:line="480" w:lineRule="auto"/>
        <w:ind w:firstLine="709"/>
        <w:jc w:val="both"/>
        <w:rPr>
          <w:rFonts w:ascii="Times New Roman" w:hAnsi="Times New Roman" w:cs="Times New Roman"/>
        </w:rPr>
      </w:pPr>
      <w:r w:rsidRPr="00333D41">
        <w:rPr>
          <w:rFonts w:ascii="Times New Roman" w:hAnsi="Times New Roman" w:cs="Times New Roman"/>
        </w:rPr>
        <w:t xml:space="preserve">Los resultados indican que el coeficiente de las víctimas </w:t>
      </w:r>
      <w:r w:rsidR="00333D41" w:rsidRPr="00333D41">
        <w:rPr>
          <w:rFonts w:ascii="Times New Roman" w:hAnsi="Times New Roman" w:cs="Times New Roman"/>
        </w:rPr>
        <w:t>con relación al</w:t>
      </w:r>
      <w:r w:rsidRPr="00333D41">
        <w:rPr>
          <w:rFonts w:ascii="Times New Roman" w:hAnsi="Times New Roman" w:cs="Times New Roman"/>
        </w:rPr>
        <w:t xml:space="preserve"> IPM es positivo en todas las especificaciones, lo cual es coherente con la hipótesis de investigación, aunque no es estadísticamente significativo en el período estudiado.</w:t>
      </w:r>
      <w:r w:rsidR="00333D41">
        <w:rPr>
          <w:rFonts w:ascii="Times New Roman" w:hAnsi="Times New Roman" w:cs="Times New Roman"/>
        </w:rPr>
        <w:t xml:space="preserve"> </w:t>
      </w:r>
      <w:r w:rsidRPr="00333D41">
        <w:rPr>
          <w:rFonts w:ascii="Times New Roman" w:hAnsi="Times New Roman" w:cs="Times New Roman"/>
        </w:rPr>
        <w:t>El artículo se organiza de la siguiente manera: la sección 2 presenta el marco teórico y la revisión de literatura; la sección 3 describe la metodología; la sección 4 discute los resultados; y la sección 5 presenta las conclusiones.</w:t>
      </w:r>
    </w:p>
    <w:p w14:paraId="3B00D481" w14:textId="77777777" w:rsidR="009277A5" w:rsidRPr="00333D41" w:rsidRDefault="009277A5" w:rsidP="00333D41">
      <w:pPr>
        <w:spacing w:after="180" w:line="480" w:lineRule="auto"/>
        <w:ind w:firstLine="709"/>
        <w:jc w:val="both"/>
        <w:rPr>
          <w:rFonts w:ascii="Times New Roman" w:hAnsi="Times New Roman" w:cs="Times New Roman"/>
        </w:rPr>
      </w:pPr>
    </w:p>
    <w:p w14:paraId="37351A4B" w14:textId="7799898A" w:rsidR="000E321E" w:rsidRPr="00333D41" w:rsidRDefault="00000000" w:rsidP="00333D41">
      <w:pPr>
        <w:pStyle w:val="Ttulo1"/>
        <w:spacing w:line="360" w:lineRule="auto"/>
      </w:pPr>
      <w:r w:rsidRPr="00333D41">
        <w:lastRenderedPageBreak/>
        <w:t>Planteamiento del problema y justificación</w:t>
      </w:r>
      <w:r w:rsidR="00333D41">
        <w:t>.</w:t>
      </w:r>
    </w:p>
    <w:p w14:paraId="0A26388E" w14:textId="77777777" w:rsidR="00034171" w:rsidRPr="00034171" w:rsidRDefault="00034171" w:rsidP="00034171">
      <w:pPr>
        <w:pStyle w:val="Fuerte1"/>
        <w:spacing w:after="240" w:line="480" w:lineRule="auto"/>
        <w:ind w:firstLine="709"/>
        <w:jc w:val="both"/>
        <w:rPr>
          <w:rFonts w:ascii="Times New Roman" w:hAnsi="Times New Roman" w:cs="Times New Roman"/>
          <w:b w:val="0"/>
          <w:bCs w:val="0"/>
        </w:rPr>
      </w:pPr>
      <w:r w:rsidRPr="00034171">
        <w:rPr>
          <w:rFonts w:ascii="Times New Roman" w:hAnsi="Times New Roman" w:cs="Times New Roman"/>
          <w:b w:val="0"/>
          <w:bCs w:val="0"/>
        </w:rPr>
        <w:t>Colombia ha registrado avances sostenidos en la reducción agregada de la pobreza durante las últimas dos décadas; sin embargo, estas mejoras no se han distribuido de manera uniforme entre territorios. Los departamentos históricamente afectados por el conflicto armado concentran las brechas más persistentes: la violencia prolongada, el desplazamiento forzado y la debilidad institucional han limitado estructuralmente el acceso de sus poblaciones a la educación, la salud, el empleo y los servicios básicos, generando condiciones de vulnerabilidad que el ingreso por sí solo no logra capturar. El IPM permite medir estas privaciones de forma integral y simultánea, lo que lo convierte en una herramienta analítica especialmente pertinente para territorios donde el conflicto ha operado durante décadas.</w:t>
      </w:r>
    </w:p>
    <w:p w14:paraId="44ABFD63" w14:textId="77777777" w:rsidR="004F7322" w:rsidRPr="004F7322" w:rsidRDefault="00034171" w:rsidP="004F7322">
      <w:pPr>
        <w:pStyle w:val="Fuerte1"/>
        <w:spacing w:after="240" w:line="480" w:lineRule="auto"/>
        <w:ind w:firstLine="709"/>
        <w:jc w:val="both"/>
        <w:rPr>
          <w:rFonts w:ascii="Times New Roman" w:hAnsi="Times New Roman" w:cs="Times New Roman"/>
          <w:b w:val="0"/>
          <w:bCs w:val="0"/>
        </w:rPr>
      </w:pPr>
      <w:r w:rsidRPr="00034171">
        <w:rPr>
          <w:rFonts w:ascii="Times New Roman" w:hAnsi="Times New Roman" w:cs="Times New Roman"/>
          <w:b w:val="0"/>
          <w:bCs w:val="0"/>
        </w:rPr>
        <w:t xml:space="preserve">No obstante, el comportamiento del IPM no responde exclusivamente al conflicto armado. Variables socioeconómicas estructurales —nivel educativo, condiciones del mercado laboral, acceso a servicios públicos, competitividad territorial— interactúan con la violencia y muestran diferencias significativas entre departamentos. Identificar la contribución específica del conflicto, separándola de estos factores estructurales, es un desafío metodológico que la literatura existente no ha resuelto para el período más reciente. </w:t>
      </w:r>
      <w:r w:rsidR="004F7322" w:rsidRPr="004F7322">
        <w:rPr>
          <w:rFonts w:ascii="Times New Roman" w:hAnsi="Times New Roman" w:cs="Times New Roman"/>
          <w:b w:val="0"/>
          <w:bCs w:val="0"/>
        </w:rPr>
        <w:t>Si bien la literatura colombiana ha explorado la asociación entre conflicto y pobreza, los estudios disponibles no combinan herramientas de selección de variables, datos de panel y las dimensiones más recientes del IPM para el período 2023–2025. Ese vacío no es menor: la Unidad para las Víctimas solo publica boletines departamentales consolidados desde 2023, lo que hace de este el primer período con información simultánea y comparable entre ambas fuentes.</w:t>
      </w:r>
    </w:p>
    <w:p w14:paraId="15249A9B" w14:textId="77777777" w:rsidR="004F7322" w:rsidRPr="004F7322" w:rsidRDefault="004F7322" w:rsidP="004F7322">
      <w:pPr>
        <w:pStyle w:val="Fuerte1"/>
        <w:spacing w:after="240" w:line="480" w:lineRule="auto"/>
        <w:ind w:firstLine="709"/>
        <w:jc w:val="both"/>
        <w:rPr>
          <w:rFonts w:ascii="Times New Roman" w:hAnsi="Times New Roman" w:cs="Times New Roman"/>
          <w:b w:val="0"/>
          <w:bCs w:val="0"/>
        </w:rPr>
      </w:pPr>
      <w:r w:rsidRPr="004F7322">
        <w:rPr>
          <w:rFonts w:ascii="Times New Roman" w:hAnsi="Times New Roman" w:cs="Times New Roman"/>
          <w:b w:val="0"/>
          <w:bCs w:val="0"/>
        </w:rPr>
        <w:lastRenderedPageBreak/>
        <w:t>Desde ahí se desprende la pregunta que orienta el artículo: ¿cuál es la relación entre el Índice de Pobreza Multidimensional y el número de víctimas del conflicto armado, considerando las características socioeconómicas de los departamentos de Colombia entre 2023 y 2025?</w:t>
      </w:r>
    </w:p>
    <w:p w14:paraId="384BE568" w14:textId="77777777" w:rsidR="004F7322" w:rsidRPr="004F7322" w:rsidRDefault="004F7322" w:rsidP="004F7322">
      <w:pPr>
        <w:pStyle w:val="Fuerte1"/>
        <w:spacing w:after="240" w:line="480" w:lineRule="auto"/>
        <w:ind w:firstLine="709"/>
        <w:jc w:val="both"/>
        <w:rPr>
          <w:rFonts w:ascii="Times New Roman" w:hAnsi="Times New Roman" w:cs="Times New Roman"/>
          <w:b w:val="0"/>
          <w:bCs w:val="0"/>
        </w:rPr>
      </w:pPr>
      <w:r w:rsidRPr="004F7322">
        <w:rPr>
          <w:rFonts w:ascii="Times New Roman" w:hAnsi="Times New Roman" w:cs="Times New Roman"/>
          <w:b w:val="0"/>
          <w:bCs w:val="0"/>
        </w:rPr>
        <w:t>Responderla tiene valor en dos frentes. Para la academia, porque aplica LASSO y econometría de panel a un problema donde la cantidad de indicadores disponibles supera con creces el número de observaciones, lo que exige una selección rigurosa de variables que estudios previos no han abordado para este período. Para la política pública, porque con un presupuesto de atención a víctimas que superó los 20,7 billones de pesos en 2025 (MHCP y DNP, 2024), saber exactamente por qué canales el conflicto deteriora el IPM no es un dato académico menor — es la diferencia entre intervenir donde duele y dispersar recursos sin foco.</w:t>
      </w:r>
    </w:p>
    <w:p w14:paraId="45151552" w14:textId="52AC89FE" w:rsidR="009277A5" w:rsidRDefault="004F7322" w:rsidP="004F7322">
      <w:pPr>
        <w:pStyle w:val="Fuerte1"/>
        <w:spacing w:after="240" w:line="480" w:lineRule="auto"/>
        <w:ind w:firstLine="709"/>
        <w:jc w:val="both"/>
        <w:rPr>
          <w:rFonts w:ascii="Times New Roman" w:hAnsi="Times New Roman" w:cs="Times New Roman"/>
          <w:b w:val="0"/>
          <w:bCs w:val="0"/>
        </w:rPr>
      </w:pPr>
      <w:r w:rsidRPr="004F7322">
        <w:rPr>
          <w:rFonts w:ascii="Times New Roman" w:hAnsi="Times New Roman" w:cs="Times New Roman"/>
          <w:b w:val="0"/>
          <w:bCs w:val="0"/>
        </w:rPr>
        <w:t>La hipótesis que se pone a prueba es que el conflicto armado, medido a través del número acumulado de víctimas por departamento, tiene un efecto positivo sobre el IPM departamental, una vez se controla por las condiciones estructurales de competitividad territorial.</w:t>
      </w:r>
    </w:p>
    <w:p w14:paraId="19F7CFEB" w14:textId="77777777" w:rsidR="0094158B" w:rsidRDefault="0094158B" w:rsidP="004F7322">
      <w:pPr>
        <w:pStyle w:val="Fuerte1"/>
        <w:spacing w:after="240" w:line="480" w:lineRule="auto"/>
        <w:ind w:firstLine="709"/>
        <w:jc w:val="both"/>
        <w:rPr>
          <w:rFonts w:ascii="Times New Roman" w:hAnsi="Times New Roman" w:cs="Times New Roman"/>
          <w:b w:val="0"/>
          <w:bCs w:val="0"/>
        </w:rPr>
      </w:pPr>
    </w:p>
    <w:p w14:paraId="617C3694" w14:textId="77777777" w:rsidR="0094158B" w:rsidRDefault="0094158B" w:rsidP="004F7322">
      <w:pPr>
        <w:pStyle w:val="Fuerte1"/>
        <w:spacing w:after="240" w:line="480" w:lineRule="auto"/>
        <w:ind w:firstLine="709"/>
        <w:jc w:val="both"/>
        <w:rPr>
          <w:rFonts w:ascii="Times New Roman" w:hAnsi="Times New Roman" w:cs="Times New Roman"/>
          <w:b w:val="0"/>
          <w:bCs w:val="0"/>
        </w:rPr>
      </w:pPr>
    </w:p>
    <w:p w14:paraId="359BF6D5" w14:textId="77777777" w:rsidR="0094158B" w:rsidRDefault="0094158B" w:rsidP="004F7322">
      <w:pPr>
        <w:pStyle w:val="Fuerte1"/>
        <w:spacing w:after="240" w:line="480" w:lineRule="auto"/>
        <w:ind w:firstLine="709"/>
        <w:jc w:val="both"/>
        <w:rPr>
          <w:rFonts w:ascii="Times New Roman" w:hAnsi="Times New Roman" w:cs="Times New Roman"/>
          <w:b w:val="0"/>
          <w:bCs w:val="0"/>
        </w:rPr>
      </w:pPr>
    </w:p>
    <w:p w14:paraId="61A3DB50" w14:textId="77777777" w:rsidR="0094158B" w:rsidRDefault="0094158B" w:rsidP="004F7322">
      <w:pPr>
        <w:pStyle w:val="Fuerte1"/>
        <w:spacing w:after="240" w:line="480" w:lineRule="auto"/>
        <w:ind w:firstLine="709"/>
        <w:jc w:val="both"/>
        <w:rPr>
          <w:rFonts w:ascii="Times New Roman" w:hAnsi="Times New Roman" w:cs="Times New Roman"/>
          <w:b w:val="0"/>
          <w:bCs w:val="0"/>
        </w:rPr>
      </w:pPr>
    </w:p>
    <w:p w14:paraId="2CDE831B" w14:textId="77777777" w:rsidR="0094158B" w:rsidRDefault="0094158B" w:rsidP="004F7322">
      <w:pPr>
        <w:pStyle w:val="Fuerte1"/>
        <w:spacing w:after="240" w:line="480" w:lineRule="auto"/>
        <w:ind w:firstLine="709"/>
        <w:jc w:val="both"/>
        <w:rPr>
          <w:rFonts w:ascii="Times New Roman" w:hAnsi="Times New Roman" w:cs="Times New Roman"/>
          <w:b w:val="0"/>
          <w:bCs w:val="0"/>
        </w:rPr>
      </w:pPr>
    </w:p>
    <w:p w14:paraId="2DCD1F58" w14:textId="77777777" w:rsidR="0094158B" w:rsidRDefault="0094158B" w:rsidP="004F7322">
      <w:pPr>
        <w:pStyle w:val="Fuerte1"/>
        <w:spacing w:after="240" w:line="480" w:lineRule="auto"/>
        <w:ind w:firstLine="709"/>
        <w:jc w:val="both"/>
        <w:rPr>
          <w:rFonts w:ascii="Times New Roman" w:hAnsi="Times New Roman" w:cs="Times New Roman"/>
          <w:b w:val="0"/>
          <w:bCs w:val="0"/>
        </w:rPr>
      </w:pPr>
    </w:p>
    <w:p w14:paraId="381A994E" w14:textId="018E887B" w:rsidR="000E321E" w:rsidRPr="00333D41" w:rsidRDefault="00000000" w:rsidP="00333D41">
      <w:pPr>
        <w:pStyle w:val="Ttulo1"/>
        <w:spacing w:line="360" w:lineRule="auto"/>
      </w:pPr>
      <w:r w:rsidRPr="00333D41">
        <w:lastRenderedPageBreak/>
        <w:t>Objetivos</w:t>
      </w:r>
      <w:r w:rsidR="00333D41">
        <w:t>.</w:t>
      </w:r>
    </w:p>
    <w:p w14:paraId="6F677CD4" w14:textId="77777777" w:rsidR="00333D41" w:rsidRDefault="00000000" w:rsidP="00F135A8">
      <w:pPr>
        <w:pStyle w:val="Ttulo2"/>
      </w:pPr>
      <w:r w:rsidRPr="00333D41">
        <w:t xml:space="preserve">Objetivo general. </w:t>
      </w:r>
    </w:p>
    <w:p w14:paraId="6F780818" w14:textId="7CBCBB39" w:rsidR="000E321E" w:rsidRPr="00333D41" w:rsidRDefault="00000000" w:rsidP="00333D41">
      <w:pPr>
        <w:pStyle w:val="Prrafodelista"/>
        <w:numPr>
          <w:ilvl w:val="0"/>
          <w:numId w:val="3"/>
        </w:numPr>
        <w:spacing w:after="180" w:line="480" w:lineRule="auto"/>
        <w:jc w:val="both"/>
        <w:rPr>
          <w:rFonts w:ascii="Times New Roman" w:hAnsi="Times New Roman" w:cs="Times New Roman"/>
        </w:rPr>
      </w:pPr>
      <w:r w:rsidRPr="00333D41">
        <w:rPr>
          <w:rFonts w:ascii="Times New Roman" w:hAnsi="Times New Roman" w:cs="Times New Roman"/>
        </w:rPr>
        <w:t>Analizar la relación entre el Índice de Pobreza Multidimensional (IPM) y el conflicto armado en Colombia durante el período 2023–2025, considerando las desigualdades territoriales y las variables socioeconómicas asociadas.</w:t>
      </w:r>
    </w:p>
    <w:p w14:paraId="6ADB7AD9" w14:textId="77777777" w:rsidR="000E321E" w:rsidRPr="00333D41" w:rsidRDefault="00000000" w:rsidP="00F135A8">
      <w:pPr>
        <w:pStyle w:val="Ttulo2"/>
      </w:pPr>
      <w:r w:rsidRPr="00333D41">
        <w:t xml:space="preserve">Objetivos específicos. </w:t>
      </w:r>
    </w:p>
    <w:p w14:paraId="0104DA09" w14:textId="138FA88E" w:rsidR="000E321E" w:rsidRPr="00333D41" w:rsidRDefault="00000000" w:rsidP="00333D41">
      <w:pPr>
        <w:pStyle w:val="Prrafodelista"/>
        <w:numPr>
          <w:ilvl w:val="0"/>
          <w:numId w:val="3"/>
        </w:numPr>
        <w:spacing w:after="120" w:line="480" w:lineRule="auto"/>
        <w:jc w:val="both"/>
        <w:rPr>
          <w:rFonts w:ascii="Times New Roman" w:hAnsi="Times New Roman" w:cs="Times New Roman"/>
        </w:rPr>
      </w:pPr>
      <w:r w:rsidRPr="00333D41">
        <w:rPr>
          <w:rFonts w:ascii="Times New Roman" w:hAnsi="Times New Roman" w:cs="Times New Roman"/>
        </w:rPr>
        <w:t>Caracterizar la pobreza multidimensional en Colombia a partir del análisis del IPM y sus principales dimensiones durante el período 2023–2025.</w:t>
      </w:r>
    </w:p>
    <w:p w14:paraId="322D40D8" w14:textId="38C81E0C" w:rsidR="000E321E" w:rsidRPr="00333D41" w:rsidRDefault="00000000" w:rsidP="00333D41">
      <w:pPr>
        <w:pStyle w:val="Prrafodelista"/>
        <w:numPr>
          <w:ilvl w:val="0"/>
          <w:numId w:val="3"/>
        </w:numPr>
        <w:spacing w:after="120" w:line="480" w:lineRule="auto"/>
        <w:jc w:val="both"/>
        <w:rPr>
          <w:rFonts w:ascii="Times New Roman" w:hAnsi="Times New Roman" w:cs="Times New Roman"/>
        </w:rPr>
      </w:pPr>
      <w:r w:rsidRPr="00333D41">
        <w:rPr>
          <w:rFonts w:ascii="Times New Roman" w:hAnsi="Times New Roman" w:cs="Times New Roman"/>
        </w:rPr>
        <w:t>Analizar la relación entre el conflicto armado y la pobreza multidimensional, especialmente a través del efecto del desplazamiento forzado sobre la incidencia e intensidad del IPM.</w:t>
      </w:r>
    </w:p>
    <w:p w14:paraId="0D1D7371" w14:textId="3969EB0E" w:rsidR="000E321E" w:rsidRDefault="00000000" w:rsidP="00333D41">
      <w:pPr>
        <w:pStyle w:val="Prrafodelista"/>
        <w:numPr>
          <w:ilvl w:val="0"/>
          <w:numId w:val="3"/>
        </w:numPr>
        <w:spacing w:after="180" w:line="480" w:lineRule="auto"/>
        <w:jc w:val="both"/>
        <w:rPr>
          <w:rFonts w:ascii="Times New Roman" w:hAnsi="Times New Roman" w:cs="Times New Roman"/>
        </w:rPr>
      </w:pPr>
      <w:r w:rsidRPr="00333D41">
        <w:rPr>
          <w:rFonts w:ascii="Times New Roman" w:hAnsi="Times New Roman" w:cs="Times New Roman"/>
        </w:rPr>
        <w:t>Examinar las desigualdades territoriales del IPM, comparando regiones según su nivel de afectación por el conflicto armado.</w:t>
      </w:r>
    </w:p>
    <w:p w14:paraId="329A89B4" w14:textId="77777777" w:rsidR="00F135A8" w:rsidRPr="00333D41" w:rsidRDefault="00F135A8" w:rsidP="00F135A8">
      <w:pPr>
        <w:pStyle w:val="Prrafodelista"/>
        <w:spacing w:after="180" w:line="480" w:lineRule="auto"/>
        <w:ind w:left="720"/>
        <w:jc w:val="both"/>
        <w:rPr>
          <w:rFonts w:ascii="Times New Roman" w:hAnsi="Times New Roman" w:cs="Times New Roman"/>
        </w:rPr>
      </w:pPr>
    </w:p>
    <w:p w14:paraId="3393AF28" w14:textId="0F722FF2" w:rsidR="000E321E" w:rsidRPr="00333D41" w:rsidRDefault="00000000" w:rsidP="00333D41">
      <w:pPr>
        <w:pStyle w:val="Ttulo1"/>
        <w:spacing w:line="360" w:lineRule="auto"/>
      </w:pPr>
      <w:r w:rsidRPr="00333D41">
        <w:t>Marco teórico y revisión de literatura</w:t>
      </w:r>
      <w:r w:rsidR="00333D41">
        <w:t>.</w:t>
      </w:r>
    </w:p>
    <w:p w14:paraId="43B36E25" w14:textId="1E7D27AC" w:rsidR="000E321E" w:rsidRPr="00333D41" w:rsidRDefault="00000000" w:rsidP="00333D41">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El presente apartado desarrolla los fundamentos conceptuales y empíricos que sustentan la hipótesis central del artículo. Se organizan tres ejes: (i) </w:t>
      </w:r>
      <w:r w:rsidR="00EE299B" w:rsidRPr="00333D41">
        <w:rPr>
          <w:rFonts w:ascii="Times New Roman" w:hAnsi="Times New Roman" w:cs="Times New Roman"/>
        </w:rPr>
        <w:t>(i) la</w:t>
      </w:r>
      <w:r w:rsidRPr="00333D41">
        <w:rPr>
          <w:rFonts w:ascii="Times New Roman" w:hAnsi="Times New Roman" w:cs="Times New Roman"/>
        </w:rPr>
        <w:t xml:space="preserve"> conceptualización de la pobreza multidimensional; (</w:t>
      </w:r>
      <w:proofErr w:type="spellStart"/>
      <w:r w:rsidRPr="00333D41">
        <w:rPr>
          <w:rFonts w:ascii="Times New Roman" w:hAnsi="Times New Roman" w:cs="Times New Roman"/>
        </w:rPr>
        <w:t>ii</w:t>
      </w:r>
      <w:proofErr w:type="spellEnd"/>
      <w:r w:rsidRPr="00333D41">
        <w:rPr>
          <w:rFonts w:ascii="Times New Roman" w:hAnsi="Times New Roman" w:cs="Times New Roman"/>
        </w:rPr>
        <w:t>) los mecanismos de transmisión del conflicto armado sobre la pobreza; y (</w:t>
      </w:r>
      <w:proofErr w:type="spellStart"/>
      <w:r w:rsidRPr="00333D41">
        <w:rPr>
          <w:rFonts w:ascii="Times New Roman" w:hAnsi="Times New Roman" w:cs="Times New Roman"/>
        </w:rPr>
        <w:t>iii</w:t>
      </w:r>
      <w:proofErr w:type="spellEnd"/>
      <w:r w:rsidRPr="00333D41">
        <w:rPr>
          <w:rFonts w:ascii="Times New Roman" w:hAnsi="Times New Roman" w:cs="Times New Roman"/>
        </w:rPr>
        <w:t>) la competitividad territorial como factor mediador.</w:t>
      </w:r>
    </w:p>
    <w:p w14:paraId="1B7694F1" w14:textId="77777777" w:rsidR="003E00AE" w:rsidRPr="00333D41" w:rsidRDefault="003E00AE" w:rsidP="00C84F8A">
      <w:pPr>
        <w:pStyle w:val="Ttulo2"/>
        <w:spacing w:line="360" w:lineRule="auto"/>
      </w:pPr>
      <w:r w:rsidRPr="00333D41">
        <w:t>Medir pobreza sin reducirla al dinero: el enfoque AF</w:t>
      </w:r>
    </w:p>
    <w:p w14:paraId="5B074B6B" w14:textId="50E5D058"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La comprensión de la pobreza experimentó una transformación conceptual profunda a partir de los trabajos de Amartya Sen (1999), quien propuso el </w:t>
      </w:r>
      <w:r w:rsidRPr="00333D41">
        <w:rPr>
          <w:rFonts w:ascii="Times New Roman" w:hAnsi="Times New Roman" w:cs="Times New Roman"/>
          <w:i/>
          <w:iCs/>
        </w:rPr>
        <w:t>enfoque de capacidades</w:t>
      </w:r>
      <w:r w:rsidRPr="00333D41">
        <w:rPr>
          <w:rFonts w:ascii="Times New Roman" w:hAnsi="Times New Roman" w:cs="Times New Roman"/>
        </w:rPr>
        <w:t xml:space="preserve"> como alternativa </w:t>
      </w:r>
      <w:r w:rsidRPr="00333D41">
        <w:rPr>
          <w:rFonts w:ascii="Times New Roman" w:hAnsi="Times New Roman" w:cs="Times New Roman"/>
        </w:rPr>
        <w:lastRenderedPageBreak/>
        <w:t>al paradigma unidimensional basado en el ingreso. Sen define la pobreza como privación de capacidades fundamentales —estar bien nutrido, acceder a educación, participar en la vida comunitaria—, perspectiva que abrió la puerta a mediciones que capturan simultáneamente múltiples privaciones.</w:t>
      </w:r>
    </w:p>
    <w:p w14:paraId="41E523F5" w14:textId="45A6D0DF" w:rsidR="000E321E" w:rsidRPr="00333D41" w:rsidRDefault="00EE299B"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Con esto, Alkire y Foster (2011) crearon el método AF, que detecta a los pobres usando dos criterios: la falta de recursos en cada área y el número suficiente de faltas al mismo tiempo para ser considerado pobre </w:t>
      </w:r>
      <w:r w:rsidR="001E0840" w:rsidRPr="00333D41">
        <w:rPr>
          <w:rFonts w:ascii="Times New Roman" w:hAnsi="Times New Roman" w:cs="Times New Roman"/>
        </w:rPr>
        <w:t>multidimensional. Este</w:t>
      </w:r>
      <w:r w:rsidRPr="00333D41">
        <w:rPr>
          <w:rFonts w:ascii="Times New Roman" w:hAnsi="Times New Roman" w:cs="Times New Roman"/>
        </w:rPr>
        <w:t xml:space="preserve"> método sustenta el IPM adoptado globalmente por el PNUD (2023) y en Colombia, donde el DANE (2023) lo aplica en cinco dimensiones y quince indicadores. Un hogar se considera pobre multidimensional si presenta privaciones en al menos el 33% de los indicadores ponderados.</w:t>
      </w:r>
    </w:p>
    <w:p w14:paraId="0EA150EA" w14:textId="1A69F85B"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En contextos de desplazamiento forzado, Admasu et al. (2021) demostraron, en cinco países africanos, que las poblaciones desplazadas presentan mayor incidencia de pobreza multidimensional que las comunidades de acogida. Para Colombia, Muñetón Santa et al. (</w:t>
      </w:r>
      <w:r w:rsidR="007A1CEF">
        <w:rPr>
          <w:rFonts w:ascii="Times New Roman" w:hAnsi="Times New Roman" w:cs="Times New Roman"/>
        </w:rPr>
        <w:t>2018</w:t>
      </w:r>
      <w:r w:rsidRPr="00333D41">
        <w:rPr>
          <w:rFonts w:ascii="Times New Roman" w:hAnsi="Times New Roman" w:cs="Times New Roman"/>
        </w:rPr>
        <w:t>) y Ochoa Díaz y Orjuela Ortiz (</w:t>
      </w:r>
      <w:r w:rsidR="007A1CEF">
        <w:rPr>
          <w:rFonts w:ascii="Times New Roman" w:hAnsi="Times New Roman" w:cs="Times New Roman"/>
        </w:rPr>
        <w:t>2013</w:t>
      </w:r>
      <w:r w:rsidRPr="00333D41">
        <w:rPr>
          <w:rFonts w:ascii="Times New Roman" w:hAnsi="Times New Roman" w:cs="Times New Roman"/>
        </w:rPr>
        <w:t>) confirman este patrón. Por su parte, Peiró-Palomino et al. (2021) documentan una marcada dualidad centro-periferia en el bienestar departamental: los territorios periféricos con mayor histórico de conflicto presentan los peores resultados en múltiples dimensiones.</w:t>
      </w:r>
    </w:p>
    <w:p w14:paraId="5DA9CB7E" w14:textId="503FA4D0" w:rsidR="000E321E" w:rsidRPr="00C84F8A" w:rsidRDefault="003E00AE" w:rsidP="00C84F8A">
      <w:pPr>
        <w:pStyle w:val="Ttulo2"/>
        <w:spacing w:line="360" w:lineRule="auto"/>
      </w:pPr>
      <w:r w:rsidRPr="00C84F8A">
        <w:t>Cómo el conflicto llega a los hogares: cuatro canales</w:t>
      </w:r>
    </w:p>
    <w:p w14:paraId="55F07A3D" w14:textId="77777777"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El conflicto armado no actúa sobre la pobreza de manera directa y uniforme, sino a través de cuatro canales principales.</w:t>
      </w:r>
    </w:p>
    <w:p w14:paraId="058E4B5C" w14:textId="7E89C174" w:rsidR="000E321E" w:rsidRPr="00333D41" w:rsidRDefault="00000000" w:rsidP="00333D41">
      <w:pPr>
        <w:pStyle w:val="Ttulo3"/>
        <w:spacing w:line="480" w:lineRule="auto"/>
        <w:jc w:val="both"/>
        <w:rPr>
          <w:rFonts w:cs="Times New Roman"/>
        </w:rPr>
      </w:pPr>
      <w:r w:rsidRPr="00333D41">
        <w:rPr>
          <w:rFonts w:cs="Times New Roman"/>
        </w:rPr>
        <w:t>Desplazamiento forzado y ruptura del capital humano y social</w:t>
      </w:r>
    </w:p>
    <w:p w14:paraId="3EEDA9B1" w14:textId="2E86D54E"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El desplazamiento forzado representa mucho más que un movimiento poblacional: constituye una ruptura estructural de los proyectos de vida individuales y colectivos, implicando la </w:t>
      </w:r>
      <w:r w:rsidRPr="00333D41">
        <w:rPr>
          <w:rFonts w:ascii="Times New Roman" w:hAnsi="Times New Roman" w:cs="Times New Roman"/>
        </w:rPr>
        <w:lastRenderedPageBreak/>
        <w:t xml:space="preserve">pérdida del territorio, los activos productivos y las redes de apoyo social. A diferencia de la migración voluntaria, el desplazamiento involuntario somete a los hogares a condiciones de vulnerabilidad extrema en los contextos de recepción, destruyendo el capital social acumulado y limitando las posibilidades de inserción económica digna (Ochoa Díaz y Orjuela Ortiz, </w:t>
      </w:r>
      <w:r w:rsidR="007A1CEF">
        <w:rPr>
          <w:rFonts w:ascii="Times New Roman" w:hAnsi="Times New Roman" w:cs="Times New Roman"/>
        </w:rPr>
        <w:t>2013</w:t>
      </w:r>
      <w:r w:rsidRPr="00333D41">
        <w:rPr>
          <w:rFonts w:ascii="Times New Roman" w:hAnsi="Times New Roman" w:cs="Times New Roman"/>
        </w:rPr>
        <w:t>). Según ACNUR (2023), Colombia tiene más de siete millones de desplazados internos, y el MHCP y DNP (2024) reportan que el presupuesto de atención creció de 1,7 a 20,7 billones de pesos entre 2002 y 2025.</w:t>
      </w:r>
    </w:p>
    <w:p w14:paraId="3E93B7A7" w14:textId="3D149F0F"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Los mecanismos causales son identificables: destrucción del capital humano y social, exclusión del mercado laboral </w:t>
      </w:r>
      <w:r w:rsidR="00EE299B" w:rsidRPr="00333D41">
        <w:rPr>
          <w:rFonts w:ascii="Times New Roman" w:hAnsi="Times New Roman" w:cs="Times New Roman"/>
        </w:rPr>
        <w:t xml:space="preserve">formal. Hay tasas de desempleo del 39% entre víctimas encuestadas y el 93% con ingresos inferiores a 235 dólares mensuales (Suárez et al., 2019). También hay deterioro de las condiciones de vivienda y acceso a servicios, e interrupciones en educación y </w:t>
      </w:r>
      <w:r w:rsidR="001E0840" w:rsidRPr="00333D41">
        <w:rPr>
          <w:rFonts w:ascii="Times New Roman" w:hAnsi="Times New Roman" w:cs="Times New Roman"/>
        </w:rPr>
        <w:t>salud. Ochoa</w:t>
      </w:r>
      <w:r w:rsidRPr="00333D41">
        <w:rPr>
          <w:rFonts w:ascii="Times New Roman" w:hAnsi="Times New Roman" w:cs="Times New Roman"/>
        </w:rPr>
        <w:t xml:space="preserve"> Díaz y Orjuela Ortiz (</w:t>
      </w:r>
      <w:r w:rsidR="002F6858">
        <w:rPr>
          <w:rFonts w:ascii="Times New Roman" w:hAnsi="Times New Roman" w:cs="Times New Roman"/>
        </w:rPr>
        <w:t>2013</w:t>
      </w:r>
      <w:r w:rsidRPr="00333D41">
        <w:rPr>
          <w:rFonts w:ascii="Times New Roman" w:hAnsi="Times New Roman" w:cs="Times New Roman"/>
        </w:rPr>
        <w:t>) demuestran econométricamente que las mujeres cabeza de hogar desplazadas tienen una probabilidad significativamente mayor de estar en pobreza. Muñetón Santa et al. (</w:t>
      </w:r>
      <w:r w:rsidR="007A1CEF">
        <w:rPr>
          <w:rFonts w:ascii="Times New Roman" w:hAnsi="Times New Roman" w:cs="Times New Roman"/>
        </w:rPr>
        <w:t>2018</w:t>
      </w:r>
      <w:r w:rsidRPr="00333D41">
        <w:rPr>
          <w:rFonts w:ascii="Times New Roman" w:hAnsi="Times New Roman" w:cs="Times New Roman"/>
        </w:rPr>
        <w:t>) confirman, mediante el modelo SUR para Antioquia, una relación directa y significativa entre desplazamiento y pobreza multidimensional municipal.</w:t>
      </w:r>
    </w:p>
    <w:p w14:paraId="43F95F07" w14:textId="424A11EF" w:rsidR="000E321E" w:rsidRPr="00C84F8A" w:rsidRDefault="00000000" w:rsidP="00C84F8A">
      <w:pPr>
        <w:pStyle w:val="Ttulo3"/>
        <w:spacing w:line="360" w:lineRule="auto"/>
      </w:pPr>
      <w:r w:rsidRPr="00C84F8A">
        <w:t>Destrucción del capital físico e institucional</w:t>
      </w:r>
    </w:p>
    <w:p w14:paraId="50BF75D2" w14:textId="77777777"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Cantillo y Garza (2022) evidencian, mediante econometría espacial dinámica para 2000–2018, que la presencia de guerrillas y paramilitares tiene un impacto acumulativo sobre la deforestación, destruyendo medios de vida rurales. Sánchez-Zamora et al. (2017) demuestran que la cohesión territorial es significativamente más baja en los departamentos históricamente afectados por el conflicto. Bernal et al. (2023) muestran que el cese al fuego de las FARC en 2014 generó un aumento del 8,3–12,7% en la creación de empresas en municipios afectados, efecto que se revirtió al reanudarse la violencia, subrayando cómo la inseguridad frena el desarrollo económico territorial.</w:t>
      </w:r>
    </w:p>
    <w:p w14:paraId="5C17D0CE" w14:textId="37E016E6" w:rsidR="000E321E" w:rsidRPr="00C84F8A" w:rsidRDefault="00000000" w:rsidP="00C84F8A">
      <w:pPr>
        <w:pStyle w:val="Ttulo3"/>
        <w:spacing w:line="360" w:lineRule="auto"/>
      </w:pPr>
      <w:r w:rsidRPr="00C84F8A">
        <w:lastRenderedPageBreak/>
        <w:t>Deterioro del acceso a servicios sociales básicos</w:t>
      </w:r>
    </w:p>
    <w:p w14:paraId="18B24EAC" w14:textId="77777777"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Según el PNUD (2023), los territorios en conflicto prolongado concentran las tasas más altas de privación multidimensional, pues la violencia destruye la infraestructura de servicios, desplaza al personal calificado y desincentiva la inversión pública. Trani y </w:t>
      </w:r>
      <w:proofErr w:type="spellStart"/>
      <w:r w:rsidRPr="00333D41">
        <w:rPr>
          <w:rFonts w:ascii="Times New Roman" w:hAnsi="Times New Roman" w:cs="Times New Roman"/>
        </w:rPr>
        <w:t>Cannings</w:t>
      </w:r>
      <w:proofErr w:type="spellEnd"/>
      <w:r w:rsidRPr="00333D41">
        <w:rPr>
          <w:rFonts w:ascii="Times New Roman" w:hAnsi="Times New Roman" w:cs="Times New Roman"/>
        </w:rPr>
        <w:t xml:space="preserve"> (2013), en Darfur, documentan que las mayores privaciones en contextos de conflicto se concentran en riqueza material (95%), educación (64%) y hacinamiento (60%). Dowd et al. (2025) confirman que el conflicto exacerba la inseguridad alimentaria de manera diferenciada por género.</w:t>
      </w:r>
    </w:p>
    <w:p w14:paraId="61A1ABBA" w14:textId="4E4493F7" w:rsidR="003E00AE" w:rsidRPr="00C84F8A" w:rsidRDefault="003E00AE" w:rsidP="00C84F8A">
      <w:pPr>
        <w:pStyle w:val="Ttulo3"/>
        <w:spacing w:line="360" w:lineRule="auto"/>
      </w:pPr>
      <w:r w:rsidRPr="00C84F8A">
        <w:t>Conflicto armado y sus mecanismos de transmisión sobre la pobreza</w:t>
      </w:r>
    </w:p>
    <w:p w14:paraId="698B6CF5" w14:textId="187BD4DC" w:rsidR="000E321E" w:rsidRPr="00333D41" w:rsidRDefault="00000000" w:rsidP="00C84F8A">
      <w:pPr>
        <w:pStyle w:val="Fuerte1"/>
        <w:spacing w:line="480" w:lineRule="auto"/>
        <w:ind w:firstLine="708"/>
        <w:jc w:val="both"/>
        <w:rPr>
          <w:rFonts w:ascii="Times New Roman" w:hAnsi="Times New Roman" w:cs="Times New Roman"/>
          <w:b w:val="0"/>
          <w:bCs w:val="0"/>
        </w:rPr>
      </w:pPr>
      <w:r w:rsidRPr="00333D41">
        <w:rPr>
          <w:rFonts w:ascii="Times New Roman" w:hAnsi="Times New Roman" w:cs="Times New Roman"/>
          <w:b w:val="0"/>
          <w:bCs w:val="0"/>
        </w:rPr>
        <w:t xml:space="preserve">La violencia sostenida genera lo que Collier y Hoeffler (2004) denominan una </w:t>
      </w:r>
      <w:r w:rsidRPr="00333D41">
        <w:rPr>
          <w:rFonts w:ascii="Times New Roman" w:hAnsi="Times New Roman" w:cs="Times New Roman"/>
          <w:b w:val="0"/>
          <w:bCs w:val="0"/>
          <w:i/>
          <w:iCs/>
        </w:rPr>
        <w:t>trampa de conflicto</w:t>
      </w:r>
      <w:r w:rsidRPr="00333D41">
        <w:rPr>
          <w:rFonts w:ascii="Times New Roman" w:hAnsi="Times New Roman" w:cs="Times New Roman"/>
          <w:b w:val="0"/>
          <w:bCs w:val="0"/>
        </w:rPr>
        <w:t>: los territorios afectados acumulan rezagos institucionales, económicos y sociales que perpetúan la vulnerabilidad incluso después de cesar la confrontación. Eid et al. (2024) confirman que el riesgo de conflicto se concentra donde coinciden vulnerabilidad socioeconómica, presión sobre recursos y alta fragmentación institucional. La ONU (2015) reconoce explícitamente el vínculo entre paz, justicia e instituciones sólidas (ODS 16) y la erradicación de la pobreza (ODS 1).</w:t>
      </w:r>
    </w:p>
    <w:p w14:paraId="24DFDF34" w14:textId="17894128" w:rsidR="000E321E" w:rsidRPr="00C84F8A" w:rsidRDefault="00000000" w:rsidP="00C84F8A">
      <w:pPr>
        <w:pStyle w:val="Ttulo2"/>
        <w:spacing w:line="360" w:lineRule="auto"/>
      </w:pPr>
      <w:r w:rsidRPr="00C84F8A">
        <w:t>La competitividad territorial como factor mediador</w:t>
      </w:r>
    </w:p>
    <w:p w14:paraId="3B828C75" w14:textId="77777777"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El IDC del CPC (2025) mide el entorno socioeconómico de los 33 departamentos en trece pilares: instituciones, infraestructura, TIC, salud, educación, mercado laboral, sistema financiero, innovación y sofisticación. Sánchez-Zamora et al. (2017) demuestran que la cohesión territorial es significativamente más baja en los departamentos con mayor afectación por el conflicto. Peiró-Palomino et al. (2021) confirman que los departamentos con mayor bienestar objetivo presentan mejor desempeño institucional, mayor cobertura de servicios y economías más diversificadas, mientras que los periféricos —Chocó, Vaupés, Guainía— concentran los peores resultados en el </w:t>
      </w:r>
      <w:r w:rsidRPr="00333D41">
        <w:rPr>
          <w:rFonts w:ascii="Times New Roman" w:hAnsi="Times New Roman" w:cs="Times New Roman"/>
        </w:rPr>
        <w:lastRenderedPageBreak/>
        <w:t>IDC y en el IPM, sugiriendo que la competitividad territorial opera como factor protector frente a las consecuencias del conflicto.</w:t>
      </w:r>
    </w:p>
    <w:p w14:paraId="6D088B28" w14:textId="648EA5D9" w:rsidR="003E00AE" w:rsidRPr="00C84F8A" w:rsidRDefault="003E00AE" w:rsidP="00C84F8A">
      <w:pPr>
        <w:pStyle w:val="Ttulo2"/>
        <w:spacing w:line="360" w:lineRule="auto"/>
      </w:pPr>
      <w:r w:rsidRPr="00C84F8A">
        <w:t>Lo que conecta los tres niveles de análisis</w:t>
      </w:r>
    </w:p>
    <w:p w14:paraId="50B0DAAE" w14:textId="77777777" w:rsidR="00B90931" w:rsidRPr="00B90931" w:rsidRDefault="00B90931" w:rsidP="00B90931">
      <w:pPr>
        <w:spacing w:after="180" w:line="480" w:lineRule="auto"/>
        <w:ind w:firstLine="708"/>
        <w:jc w:val="both"/>
        <w:rPr>
          <w:rFonts w:ascii="Times New Roman" w:hAnsi="Times New Roman" w:cs="Times New Roman"/>
        </w:rPr>
      </w:pPr>
      <w:r w:rsidRPr="00B90931">
        <w:rPr>
          <w:rFonts w:ascii="Times New Roman" w:hAnsi="Times New Roman" w:cs="Times New Roman"/>
        </w:rPr>
        <w:t>La revisión de literatura permite construir un marco explicativo en tres niveles que articula los fundamentos conceptuales con la estrategia empírica del artículo.</w:t>
      </w:r>
    </w:p>
    <w:p w14:paraId="2BC236A7" w14:textId="77777777" w:rsidR="00B90931" w:rsidRPr="00B90931" w:rsidRDefault="00B90931" w:rsidP="00B90931">
      <w:pPr>
        <w:spacing w:after="180" w:line="480" w:lineRule="auto"/>
        <w:ind w:firstLine="708"/>
        <w:jc w:val="both"/>
        <w:rPr>
          <w:rFonts w:ascii="Times New Roman" w:hAnsi="Times New Roman" w:cs="Times New Roman"/>
        </w:rPr>
      </w:pPr>
      <w:r w:rsidRPr="00B90931">
        <w:rPr>
          <w:rFonts w:ascii="Times New Roman" w:hAnsi="Times New Roman" w:cs="Times New Roman"/>
        </w:rPr>
        <w:t>En el nivel macro, el conflicto armado opera como factor de perturbación estructural que destruye capital físico, humano e institucional acumulado durante décadas. La trampa de conflicto descrita por Collier y Hoeffler (2004) explica por qué los territorios afectados acumulan rezagos que persisten incluso después de cesar la confrontación directa: la violencia sostenida deteriora las instituciones, desincentiva la inversión y fragmenta el tejido social, condiciones que el IDC captura a través de sus pilares de instituciones, infraestructura y sofisticación empresarial.</w:t>
      </w:r>
    </w:p>
    <w:p w14:paraId="54B77EA8" w14:textId="77777777" w:rsidR="00B90931" w:rsidRPr="00B90931" w:rsidRDefault="00B90931" w:rsidP="00B90931">
      <w:pPr>
        <w:spacing w:after="180" w:line="480" w:lineRule="auto"/>
        <w:ind w:firstLine="708"/>
        <w:jc w:val="both"/>
        <w:rPr>
          <w:rFonts w:ascii="Times New Roman" w:hAnsi="Times New Roman" w:cs="Times New Roman"/>
        </w:rPr>
      </w:pPr>
      <w:r w:rsidRPr="00B90931">
        <w:rPr>
          <w:rFonts w:ascii="Times New Roman" w:hAnsi="Times New Roman" w:cs="Times New Roman"/>
        </w:rPr>
        <w:t>En el nivel meso, el desplazamiento forzado actúa como mecanismo de transmisión que traslada y concentra las privaciones desde los territorios de origen hacia los de recepción. Este proceso no es neutro: destruye el capital social acumulado, interrumpe trayectorias educativas y laborales, y sobrecarga los sistemas de servicios en los municipios receptores (Admasu et al., 2021; MHCP y DNP, 2024). En el modelo empírico, este nivel se aproxima a través de la tasa de homicidios y las variables del IDC asociadas a salud, educación e infraestructura.</w:t>
      </w:r>
    </w:p>
    <w:p w14:paraId="1E82D2A4" w14:textId="29182B17" w:rsidR="00B90931" w:rsidRPr="00B90931" w:rsidRDefault="00B90931" w:rsidP="00B90931">
      <w:pPr>
        <w:spacing w:after="180" w:line="480" w:lineRule="auto"/>
        <w:ind w:firstLine="708"/>
        <w:jc w:val="both"/>
        <w:rPr>
          <w:rFonts w:ascii="Times New Roman" w:hAnsi="Times New Roman" w:cs="Times New Roman"/>
        </w:rPr>
      </w:pPr>
      <w:r w:rsidRPr="00B90931">
        <w:rPr>
          <w:rFonts w:ascii="Times New Roman" w:hAnsi="Times New Roman" w:cs="Times New Roman"/>
        </w:rPr>
        <w:t>En el nivel micro, los hogares desplazados enfrentan una ruptura estructural de sus estrategias de vida que eleva su probabilidad de caer en pobreza multidimensional de manera persistente. Las privaciones simultáneas en vivienda, educación, salud y trabajo —documentadas por Ochoa Díaz y Orjuela Ortiz (</w:t>
      </w:r>
      <w:r w:rsidR="007A1CEF">
        <w:rPr>
          <w:rFonts w:ascii="Times New Roman" w:hAnsi="Times New Roman" w:cs="Times New Roman"/>
        </w:rPr>
        <w:t>2013</w:t>
      </w:r>
      <w:r w:rsidRPr="00B90931">
        <w:rPr>
          <w:rFonts w:ascii="Times New Roman" w:hAnsi="Times New Roman" w:cs="Times New Roman"/>
        </w:rPr>
        <w:t>) y Suárez et al. (2019)— son precisamente las dimensiones que el IPM captura y que el método AF de Alkire y Foster (2011) permite identificar de forma conjunta.</w:t>
      </w:r>
    </w:p>
    <w:p w14:paraId="28DDF3BB" w14:textId="1BD7AEBA" w:rsidR="00C84F8A" w:rsidRDefault="00B90931" w:rsidP="00B90931">
      <w:pPr>
        <w:spacing w:after="180" w:line="480" w:lineRule="auto"/>
        <w:ind w:firstLine="708"/>
        <w:jc w:val="both"/>
        <w:rPr>
          <w:rFonts w:ascii="Times New Roman" w:hAnsi="Times New Roman" w:cs="Times New Roman"/>
        </w:rPr>
      </w:pPr>
      <w:r w:rsidRPr="00B90931">
        <w:rPr>
          <w:rFonts w:ascii="Times New Roman" w:hAnsi="Times New Roman" w:cs="Times New Roman"/>
        </w:rPr>
        <w:lastRenderedPageBreak/>
        <w:t>La competitividad territorial, medida por el IDC, atraviesa los tres niveles como factor que puede proteger o amplificar el impacto del conflicto según las condiciones de cada departamento. Los territorios con mayor desarrollo institucional, mejor cobertura de servicios y mercados laborales más formalizados logran amortiguar parte de ese impacto, mientras que los más rezagados lo acumulan sin contención (Peiró-Palomino et al., 2021; Sánchez-Zamora et al., 2017). Por eso los indicadores del IDC entran al modelo no como variables de contexto sino como controles estructurales, y el LASSO cumple la función de identificar cuáles de los 137 disponibles aportan poder explicativo real sobre el IPM. Lo que distingue este artículo de estudios anteriores es justamente eso: el conflicto no se trata como causa directa e inmediata de la pobreza, sino como un factor cuyo peso solo puede aislarse correctamente cuando se controla por las condiciones estructurales del territorio donde opera.</w:t>
      </w:r>
    </w:p>
    <w:p w14:paraId="7886C5A3" w14:textId="77777777" w:rsidR="008E5C04" w:rsidRDefault="008E5C04" w:rsidP="00C84F8A">
      <w:pPr>
        <w:spacing w:after="180" w:line="480" w:lineRule="auto"/>
        <w:ind w:firstLine="708"/>
        <w:jc w:val="both"/>
        <w:rPr>
          <w:rFonts w:ascii="Times New Roman" w:hAnsi="Times New Roman" w:cs="Times New Roman"/>
        </w:rPr>
      </w:pPr>
    </w:p>
    <w:p w14:paraId="37A9410D" w14:textId="6A13BE3D" w:rsidR="000E321E" w:rsidRPr="00333D41" w:rsidRDefault="00000000" w:rsidP="00C84F8A">
      <w:pPr>
        <w:pStyle w:val="Ttulo1"/>
        <w:spacing w:line="360" w:lineRule="auto"/>
      </w:pPr>
      <w:r w:rsidRPr="00333D41">
        <w:t>Metodología</w:t>
      </w:r>
    </w:p>
    <w:p w14:paraId="73316F2E" w14:textId="77B8DDFF" w:rsidR="000E321E" w:rsidRPr="00C84F8A" w:rsidRDefault="00000000" w:rsidP="00C84F8A">
      <w:pPr>
        <w:pStyle w:val="Ttulo2"/>
        <w:spacing w:line="360" w:lineRule="auto"/>
      </w:pPr>
      <w:r w:rsidRPr="00C84F8A">
        <w:t>Fuentes de datos y construcción del panel</w:t>
      </w:r>
    </w:p>
    <w:p w14:paraId="590DFFFA" w14:textId="77777777" w:rsidR="008E5C04" w:rsidRPr="008E5C04" w:rsidRDefault="008E5C04" w:rsidP="008E5C04">
      <w:pPr>
        <w:spacing w:line="480" w:lineRule="auto"/>
        <w:ind w:firstLine="709"/>
        <w:jc w:val="both"/>
        <w:rPr>
          <w:rFonts w:ascii="Times New Roman" w:hAnsi="Times New Roman" w:cs="Times New Roman"/>
        </w:rPr>
      </w:pPr>
      <w:r w:rsidRPr="008E5C04">
        <w:rPr>
          <w:rFonts w:ascii="Times New Roman" w:hAnsi="Times New Roman" w:cs="Times New Roman"/>
        </w:rPr>
        <w:t>El análisis se basa en un panel de datos balanceado de los 33 departamentos de Colombia para el período 2023–2025, que comprende 99 observaciones en total. La delimitación temporal responde a la disponibilidad de información: la Unidad para las Víctimas publica boletines departamentales consolidados únicamente a partir de 2023, lo que determina el punto de inicio del panel. Esta restricción es externa al diseño de la investigación y no obedece a una selección muestral del autor. Por su parte, el DANE dispone de datos de IPM departamental para este mismo período, lo que permite construir un panel balanceado sin imputaciones ni valores faltantes.</w:t>
      </w:r>
    </w:p>
    <w:p w14:paraId="37E6FB1F" w14:textId="77777777" w:rsidR="008E5C04" w:rsidRPr="008E5C04" w:rsidRDefault="008E5C04" w:rsidP="008E5C04">
      <w:pPr>
        <w:spacing w:line="480" w:lineRule="auto"/>
        <w:ind w:firstLine="709"/>
        <w:jc w:val="both"/>
        <w:rPr>
          <w:rFonts w:ascii="Times New Roman" w:hAnsi="Times New Roman" w:cs="Times New Roman"/>
          <w:b/>
          <w:bCs/>
        </w:rPr>
      </w:pPr>
      <w:r w:rsidRPr="008E5C04">
        <w:rPr>
          <w:rFonts w:ascii="Times New Roman" w:hAnsi="Times New Roman" w:cs="Times New Roman"/>
        </w:rPr>
        <w:lastRenderedPageBreak/>
        <w:t>Las fuentes utilizadas son tres. Primera, el IPM departamental publicado por el DANE (2023), que constituye la variable dependiente del modelo. Segunda, el registro acumulado de víctimas del conflicto de la Unidad para las Víctimas (2025), que es la variable de interés central. Tercera, los 137 indicadores del Índice de Competitividad Departamental del CPC (2025), que proveen las variables de control. El enfoque es cuantitativo y de tipo explicativo, con un diseño no experimental, siguiendo el esquema metodológico estándar para datos de panel en economía regional (Wooldridge, 2010).</w:t>
      </w:r>
    </w:p>
    <w:p w14:paraId="23A0C4D0" w14:textId="78A6F3E1" w:rsidR="000E321E" w:rsidRPr="00C84F8A" w:rsidRDefault="00000000" w:rsidP="008E5C04">
      <w:pPr>
        <w:pStyle w:val="Ttulo2"/>
        <w:spacing w:line="360" w:lineRule="auto"/>
      </w:pPr>
      <w:r w:rsidRPr="00C84F8A">
        <w:t>Variables</w:t>
      </w:r>
      <w:r w:rsidR="003E00AE" w:rsidRPr="00C84F8A">
        <w:t xml:space="preserve"> del modelo</w:t>
      </w:r>
    </w:p>
    <w:p w14:paraId="69AB2A7D" w14:textId="456F537A"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La variable dependiente es el IPM departamental, que mide el porcentaje de la población con privaciones simultáneas en al menos el 33% de los quince indicadores de las cinco dimensiones del índice (DANE, 2023). </w:t>
      </w:r>
      <w:r w:rsidR="00EE299B" w:rsidRPr="00333D41">
        <w:rPr>
          <w:rFonts w:ascii="Times New Roman" w:hAnsi="Times New Roman" w:cs="Times New Roman"/>
        </w:rPr>
        <w:t>La variable de interés es el número total de víctimas, convertido logarítmicamente —</w:t>
      </w:r>
      <w:proofErr w:type="spellStart"/>
      <w:proofErr w:type="gramStart"/>
      <w:r w:rsidR="00EE299B" w:rsidRPr="00333D41">
        <w:rPr>
          <w:rFonts w:ascii="Times New Roman" w:hAnsi="Times New Roman" w:cs="Times New Roman"/>
        </w:rPr>
        <w:t>ln</w:t>
      </w:r>
      <w:proofErr w:type="spellEnd"/>
      <w:r w:rsidR="00EE299B" w:rsidRPr="00333D41">
        <w:rPr>
          <w:rFonts w:ascii="Times New Roman" w:hAnsi="Times New Roman" w:cs="Times New Roman"/>
        </w:rPr>
        <w:t>(</w:t>
      </w:r>
      <w:proofErr w:type="gramEnd"/>
      <w:r w:rsidR="00EE299B" w:rsidRPr="00333D41">
        <w:rPr>
          <w:rFonts w:ascii="Times New Roman" w:hAnsi="Times New Roman" w:cs="Times New Roman"/>
        </w:rPr>
        <w:t>Víctimas + 1)— para ajustar la asimetría positiva de su distribución (media = 308.859; desviación estándar = 363.813</w:t>
      </w:r>
      <w:r w:rsidR="008E5C04" w:rsidRPr="00333D41">
        <w:rPr>
          <w:rFonts w:ascii="Times New Roman" w:hAnsi="Times New Roman" w:cs="Times New Roman"/>
        </w:rPr>
        <w:t>). Las</w:t>
      </w:r>
      <w:r w:rsidRPr="00333D41">
        <w:rPr>
          <w:rFonts w:ascii="Times New Roman" w:hAnsi="Times New Roman" w:cs="Times New Roman"/>
        </w:rPr>
        <w:t xml:space="preserve"> variables de control provienen del IDC y </w:t>
      </w:r>
      <w:r w:rsidR="00EE299B" w:rsidRPr="00333D41">
        <w:rPr>
          <w:rFonts w:ascii="Times New Roman" w:hAnsi="Times New Roman" w:cs="Times New Roman"/>
        </w:rPr>
        <w:t>se seleccionan</w:t>
      </w:r>
      <w:r w:rsidRPr="00333D41">
        <w:rPr>
          <w:rFonts w:ascii="Times New Roman" w:hAnsi="Times New Roman" w:cs="Times New Roman"/>
        </w:rPr>
        <w:t xml:space="preserve"> mediante LASSO.</w:t>
      </w:r>
    </w:p>
    <w:p w14:paraId="6689EFD3" w14:textId="5A1834F7" w:rsidR="000E321E" w:rsidRPr="00C84F8A" w:rsidRDefault="00000000" w:rsidP="00C84F8A">
      <w:pPr>
        <w:pStyle w:val="Ttulo2"/>
        <w:spacing w:line="360" w:lineRule="auto"/>
      </w:pPr>
      <w:r w:rsidRPr="00C84F8A">
        <w:t>Selección de variables mediante LASSO</w:t>
      </w:r>
    </w:p>
    <w:p w14:paraId="54C25981" w14:textId="6D87FD9A" w:rsidR="000E321E" w:rsidRPr="00333D41" w:rsidRDefault="00EE299B"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Debido al gran número de indicadores del IDC, se utiliza el método LASSO (</w:t>
      </w:r>
      <w:proofErr w:type="spellStart"/>
      <w:r w:rsidRPr="00333D41">
        <w:rPr>
          <w:rFonts w:ascii="Times New Roman" w:hAnsi="Times New Roman" w:cs="Times New Roman"/>
        </w:rPr>
        <w:t>Tibshirani</w:t>
      </w:r>
      <w:proofErr w:type="spellEnd"/>
      <w:r w:rsidRPr="00333D41">
        <w:rPr>
          <w:rFonts w:ascii="Times New Roman" w:hAnsi="Times New Roman" w:cs="Times New Roman"/>
        </w:rPr>
        <w:t xml:space="preserve">, 1996), que añade una penalización L₁ a los coeficientes de regresión, haciendo que los coeficientes que no aportan información se reduzcan a </w:t>
      </w:r>
      <w:r w:rsidR="008E5C04" w:rsidRPr="00333D41">
        <w:rPr>
          <w:rFonts w:ascii="Times New Roman" w:hAnsi="Times New Roman" w:cs="Times New Roman"/>
        </w:rPr>
        <w:t>cero. La</w:t>
      </w:r>
      <w:r w:rsidRPr="00333D41">
        <w:rPr>
          <w:rFonts w:ascii="Times New Roman" w:hAnsi="Times New Roman" w:cs="Times New Roman"/>
        </w:rPr>
        <w:t xml:space="preserve"> función objetivo es:</w:t>
      </w:r>
    </w:p>
    <w:p w14:paraId="3EF07A43" w14:textId="77777777" w:rsidR="000E321E" w:rsidRPr="00333D41" w:rsidRDefault="00000000" w:rsidP="00C84F8A">
      <w:pPr>
        <w:spacing w:before="120" w:after="120" w:line="480" w:lineRule="auto"/>
        <w:jc w:val="center"/>
        <w:rPr>
          <w:rFonts w:ascii="Times New Roman" w:hAnsi="Times New Roman" w:cs="Times New Roman"/>
        </w:rPr>
      </w:pPr>
      <w:r w:rsidRPr="00333D41">
        <w:rPr>
          <w:rFonts w:ascii="Times New Roman" w:hAnsi="Times New Roman" w:cs="Times New Roman"/>
          <w:i/>
          <w:iCs/>
        </w:rPr>
        <w:t xml:space="preserve">β̂LASSO = </w:t>
      </w:r>
      <w:proofErr w:type="spellStart"/>
      <w:r w:rsidRPr="00333D41">
        <w:rPr>
          <w:rFonts w:ascii="Times New Roman" w:hAnsi="Times New Roman" w:cs="Times New Roman"/>
          <w:i/>
          <w:iCs/>
        </w:rPr>
        <w:t>argmin</w:t>
      </w:r>
      <w:proofErr w:type="spellEnd"/>
      <w:r w:rsidRPr="00333D41">
        <w:rPr>
          <w:rFonts w:ascii="Times New Roman" w:hAnsi="Times New Roman" w:cs="Times New Roman"/>
          <w:i/>
          <w:iCs/>
        </w:rPr>
        <w:t xml:space="preserve"> </w:t>
      </w:r>
      <w:proofErr w:type="gramStart"/>
      <w:r w:rsidRPr="00333D41">
        <w:rPr>
          <w:rFonts w:ascii="Times New Roman" w:hAnsi="Times New Roman" w:cs="Times New Roman"/>
          <w:i/>
          <w:iCs/>
        </w:rPr>
        <w:t>{ Σ</w:t>
      </w:r>
      <w:proofErr w:type="gramEnd"/>
      <w:r w:rsidRPr="00333D41">
        <w:rPr>
          <w:rFonts w:ascii="Times New Roman" w:hAnsi="Times New Roman" w:cs="Times New Roman"/>
          <w:i/>
          <w:iCs/>
        </w:rPr>
        <w:t>(yᵢ - Xᵢ</w:t>
      </w:r>
      <w:proofErr w:type="gramStart"/>
      <w:r w:rsidRPr="00333D41">
        <w:rPr>
          <w:rFonts w:ascii="Times New Roman" w:hAnsi="Times New Roman" w:cs="Times New Roman"/>
          <w:i/>
          <w:iCs/>
        </w:rPr>
        <w:t>β)²</w:t>
      </w:r>
      <w:proofErr w:type="gramEnd"/>
      <w:r w:rsidRPr="00333D41">
        <w:rPr>
          <w:rFonts w:ascii="Times New Roman" w:hAnsi="Times New Roman" w:cs="Times New Roman"/>
          <w:i/>
          <w:iCs/>
        </w:rPr>
        <w:t xml:space="preserve"> + λ Σ|βⱼ</w:t>
      </w:r>
      <w:proofErr w:type="gramStart"/>
      <w:r w:rsidRPr="00333D41">
        <w:rPr>
          <w:rFonts w:ascii="Times New Roman" w:hAnsi="Times New Roman" w:cs="Times New Roman"/>
          <w:i/>
          <w:iCs/>
        </w:rPr>
        <w:t>| }</w:t>
      </w:r>
      <w:proofErr w:type="gramEnd"/>
    </w:p>
    <w:p w14:paraId="2A8F325C" w14:textId="3D8FEFA0"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El parámetro λ óptimo se determina mediante validación cruzada de tres pliegues (CV-3). Partiendo de 122 variables candidatas —tras eliminar cinco por valores faltantes superiores al 10% </w:t>
      </w:r>
      <w:r w:rsidRPr="00333D41">
        <w:rPr>
          <w:rFonts w:ascii="Times New Roman" w:hAnsi="Times New Roman" w:cs="Times New Roman"/>
        </w:rPr>
        <w:lastRenderedPageBreak/>
        <w:t xml:space="preserve">y once por correlaciones </w:t>
      </w:r>
      <w:r w:rsidR="00EE299B" w:rsidRPr="00333D41">
        <w:rPr>
          <w:rFonts w:ascii="Times New Roman" w:hAnsi="Times New Roman" w:cs="Times New Roman"/>
        </w:rPr>
        <w:t>por encima de</w:t>
      </w:r>
      <w:r w:rsidRPr="00333D41">
        <w:rPr>
          <w:rFonts w:ascii="Times New Roman" w:hAnsi="Times New Roman" w:cs="Times New Roman"/>
        </w:rPr>
        <w:t xml:space="preserve"> 0,95—, el LASSO con λ = 0,2775 retuvo 29 variables, que conforman el conjunto final de regresores.</w:t>
      </w:r>
    </w:p>
    <w:p w14:paraId="528BBAFA" w14:textId="46C74C3A" w:rsidR="000E321E" w:rsidRPr="00C84F8A" w:rsidRDefault="00000000" w:rsidP="00C84F8A">
      <w:pPr>
        <w:pStyle w:val="Ttulo2"/>
        <w:spacing w:line="360" w:lineRule="auto"/>
      </w:pPr>
      <w:r w:rsidRPr="00C84F8A">
        <w:t>Modelos de datos de panel</w:t>
      </w:r>
    </w:p>
    <w:p w14:paraId="5590F491" w14:textId="601269C8" w:rsidR="000E321E" w:rsidRPr="00C84F8A" w:rsidRDefault="00000000" w:rsidP="00333D41">
      <w:pPr>
        <w:pStyle w:val="Ttulo3"/>
        <w:spacing w:line="480" w:lineRule="auto"/>
        <w:jc w:val="both"/>
      </w:pPr>
      <w:proofErr w:type="spellStart"/>
      <w:r w:rsidRPr="00C84F8A">
        <w:t>Pooled</w:t>
      </w:r>
      <w:proofErr w:type="spellEnd"/>
      <w:r w:rsidRPr="00C84F8A">
        <w:t xml:space="preserve"> OLS (</w:t>
      </w:r>
      <w:proofErr w:type="spellStart"/>
      <w:r w:rsidRPr="00C84F8A">
        <w:t>benchmark</w:t>
      </w:r>
      <w:proofErr w:type="spellEnd"/>
      <w:r w:rsidRPr="00C84F8A">
        <w:t>)</w:t>
      </w:r>
    </w:p>
    <w:p w14:paraId="35034029" w14:textId="77777777"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El modelo agrupado combina todas las observaciones sin distinguir la estructura de panel:</w:t>
      </w:r>
    </w:p>
    <w:p w14:paraId="58C1246F" w14:textId="77777777" w:rsidR="000E321E" w:rsidRPr="00333D41" w:rsidRDefault="00000000" w:rsidP="00C84F8A">
      <w:pPr>
        <w:spacing w:before="120" w:after="120" w:line="480" w:lineRule="auto"/>
        <w:jc w:val="center"/>
        <w:rPr>
          <w:rFonts w:ascii="Times New Roman" w:hAnsi="Times New Roman" w:cs="Times New Roman"/>
        </w:rPr>
      </w:pPr>
      <w:r w:rsidRPr="00333D41">
        <w:rPr>
          <w:rFonts w:ascii="Times New Roman" w:hAnsi="Times New Roman" w:cs="Times New Roman"/>
          <w:i/>
          <w:iCs/>
        </w:rPr>
        <w:t xml:space="preserve">IPMᵢₜ = α + β₁ </w:t>
      </w:r>
      <w:proofErr w:type="spellStart"/>
      <w:proofErr w:type="gramStart"/>
      <w:r w:rsidRPr="00333D41">
        <w:rPr>
          <w:rFonts w:ascii="Times New Roman" w:hAnsi="Times New Roman" w:cs="Times New Roman"/>
          <w:i/>
          <w:iCs/>
        </w:rPr>
        <w:t>ln</w:t>
      </w:r>
      <w:proofErr w:type="spellEnd"/>
      <w:r w:rsidRPr="00333D41">
        <w:rPr>
          <w:rFonts w:ascii="Times New Roman" w:hAnsi="Times New Roman" w:cs="Times New Roman"/>
          <w:i/>
          <w:iCs/>
        </w:rPr>
        <w:t>(</w:t>
      </w:r>
      <w:proofErr w:type="gramEnd"/>
      <w:r w:rsidRPr="00333D41">
        <w:rPr>
          <w:rFonts w:ascii="Times New Roman" w:hAnsi="Times New Roman" w:cs="Times New Roman"/>
          <w:i/>
          <w:iCs/>
        </w:rPr>
        <w:t>Víctimasᵢₜ) + Σ βₖ Xᵢₜᵏ + εᵢₜ</w:t>
      </w:r>
    </w:p>
    <w:p w14:paraId="049F915E" w14:textId="77777777" w:rsidR="000E321E" w:rsidRPr="00333D41" w:rsidRDefault="00000000" w:rsidP="00C84F8A">
      <w:pPr>
        <w:spacing w:after="180" w:line="480" w:lineRule="auto"/>
        <w:ind w:firstLine="708"/>
        <w:jc w:val="both"/>
        <w:rPr>
          <w:rFonts w:ascii="Times New Roman" w:hAnsi="Times New Roman" w:cs="Times New Roman"/>
        </w:rPr>
      </w:pPr>
      <w:r w:rsidRPr="00333D41">
        <w:rPr>
          <w:rFonts w:ascii="Times New Roman" w:hAnsi="Times New Roman" w:cs="Times New Roman"/>
        </w:rPr>
        <w:t>Este estimador es inconsistente si los efectos individuales no observados están correlacionados con los regresores (Wooldridge, 2010).</w:t>
      </w:r>
    </w:p>
    <w:p w14:paraId="78986ADB" w14:textId="29939558" w:rsidR="000E321E" w:rsidRPr="00C84F8A" w:rsidRDefault="00000000" w:rsidP="00C84F8A">
      <w:pPr>
        <w:pStyle w:val="Ttulo3"/>
        <w:spacing w:line="360" w:lineRule="auto"/>
      </w:pPr>
      <w:r w:rsidRPr="00C84F8A">
        <w:t>Efectos fijos</w:t>
      </w:r>
    </w:p>
    <w:p w14:paraId="0A485E1B" w14:textId="77777777" w:rsidR="000E321E" w:rsidRPr="00333D41" w:rsidRDefault="00000000" w:rsidP="009277A5">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El estimador </w:t>
      </w:r>
      <w:proofErr w:type="spellStart"/>
      <w:r w:rsidRPr="00333D41">
        <w:rPr>
          <w:rFonts w:ascii="Times New Roman" w:hAnsi="Times New Roman" w:cs="Times New Roman"/>
        </w:rPr>
        <w:t>within</w:t>
      </w:r>
      <w:proofErr w:type="spellEnd"/>
      <w:r w:rsidRPr="00333D41">
        <w:rPr>
          <w:rFonts w:ascii="Times New Roman" w:hAnsi="Times New Roman" w:cs="Times New Roman"/>
        </w:rPr>
        <w:t xml:space="preserve"> controla por características no observables invariantes en el tiempo mediante </w:t>
      </w:r>
      <w:proofErr w:type="spellStart"/>
      <w:r w:rsidRPr="00333D41">
        <w:rPr>
          <w:rFonts w:ascii="Times New Roman" w:hAnsi="Times New Roman" w:cs="Times New Roman"/>
        </w:rPr>
        <w:t>demeaning</w:t>
      </w:r>
      <w:proofErr w:type="spellEnd"/>
      <w:r w:rsidRPr="00333D41">
        <w:rPr>
          <w:rFonts w:ascii="Times New Roman" w:hAnsi="Times New Roman" w:cs="Times New Roman"/>
        </w:rPr>
        <w:t>:</w:t>
      </w:r>
    </w:p>
    <w:p w14:paraId="154EDFBE" w14:textId="77777777" w:rsidR="000E321E" w:rsidRPr="00333D41" w:rsidRDefault="00000000" w:rsidP="009277A5">
      <w:pPr>
        <w:spacing w:before="120" w:after="120" w:line="480" w:lineRule="auto"/>
        <w:jc w:val="center"/>
        <w:rPr>
          <w:rFonts w:ascii="Times New Roman" w:hAnsi="Times New Roman" w:cs="Times New Roman"/>
        </w:rPr>
      </w:pPr>
      <w:r w:rsidRPr="00333D41">
        <w:rPr>
          <w:rFonts w:ascii="Times New Roman" w:hAnsi="Times New Roman" w:cs="Times New Roman"/>
          <w:i/>
          <w:iCs/>
        </w:rPr>
        <w:t>IPMᵢₜ - IPM̄ᵢ = β₁(</w:t>
      </w:r>
      <w:proofErr w:type="spellStart"/>
      <w:proofErr w:type="gramStart"/>
      <w:r w:rsidRPr="00333D41">
        <w:rPr>
          <w:rFonts w:ascii="Times New Roman" w:hAnsi="Times New Roman" w:cs="Times New Roman"/>
          <w:i/>
          <w:iCs/>
        </w:rPr>
        <w:t>ln</w:t>
      </w:r>
      <w:proofErr w:type="spellEnd"/>
      <w:r w:rsidRPr="00333D41">
        <w:rPr>
          <w:rFonts w:ascii="Times New Roman" w:hAnsi="Times New Roman" w:cs="Times New Roman"/>
          <w:i/>
          <w:iCs/>
        </w:rPr>
        <w:t>(</w:t>
      </w:r>
      <w:proofErr w:type="gramEnd"/>
      <w:r w:rsidRPr="00333D41">
        <w:rPr>
          <w:rFonts w:ascii="Times New Roman" w:hAnsi="Times New Roman" w:cs="Times New Roman"/>
          <w:i/>
          <w:iCs/>
        </w:rPr>
        <w:t xml:space="preserve">Víctimasᵢₜ) - </w:t>
      </w:r>
      <w:proofErr w:type="spellStart"/>
      <w:proofErr w:type="gramStart"/>
      <w:r w:rsidRPr="00333D41">
        <w:rPr>
          <w:rFonts w:ascii="Times New Roman" w:hAnsi="Times New Roman" w:cs="Times New Roman"/>
          <w:i/>
          <w:iCs/>
        </w:rPr>
        <w:t>ln</w:t>
      </w:r>
      <w:proofErr w:type="spellEnd"/>
      <w:r w:rsidRPr="00333D41">
        <w:rPr>
          <w:rFonts w:ascii="Times New Roman" w:hAnsi="Times New Roman" w:cs="Times New Roman"/>
          <w:i/>
          <w:iCs/>
        </w:rPr>
        <w:t>(</w:t>
      </w:r>
      <w:proofErr w:type="gramEnd"/>
      <w:r w:rsidRPr="00333D41">
        <w:rPr>
          <w:rFonts w:ascii="Times New Roman" w:hAnsi="Times New Roman" w:cs="Times New Roman"/>
          <w:i/>
          <w:iCs/>
        </w:rPr>
        <w:t xml:space="preserve">Víctimas̄ᵢ)) + Σ </w:t>
      </w:r>
      <w:proofErr w:type="gramStart"/>
      <w:r w:rsidRPr="00333D41">
        <w:rPr>
          <w:rFonts w:ascii="Times New Roman" w:hAnsi="Times New Roman" w:cs="Times New Roman"/>
          <w:i/>
          <w:iCs/>
        </w:rPr>
        <w:t>βₖ(</w:t>
      </w:r>
      <w:proofErr w:type="gramEnd"/>
      <w:r w:rsidRPr="00333D41">
        <w:rPr>
          <w:rFonts w:ascii="Times New Roman" w:hAnsi="Times New Roman" w:cs="Times New Roman"/>
          <w:i/>
          <w:iCs/>
        </w:rPr>
        <w:t>Xᵢₜᵏ - X̄ᵢᵏ) + (εᵢₜ - ε̄ᵢ)</w:t>
      </w:r>
    </w:p>
    <w:p w14:paraId="0DEA3CC4" w14:textId="18CD8D36" w:rsidR="000E321E" w:rsidRPr="009277A5" w:rsidRDefault="00000000" w:rsidP="009277A5">
      <w:pPr>
        <w:pStyle w:val="Ttulo3"/>
        <w:spacing w:line="360" w:lineRule="auto"/>
      </w:pPr>
      <w:r w:rsidRPr="009277A5">
        <w:t>Efectos aleatorios</w:t>
      </w:r>
    </w:p>
    <w:p w14:paraId="6E29DC47" w14:textId="5809D288" w:rsidR="000E321E" w:rsidRPr="00333D41" w:rsidRDefault="00000000" w:rsidP="009277A5">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El modelo GLS, con la transformación </w:t>
      </w:r>
      <w:proofErr w:type="spellStart"/>
      <w:r w:rsidR="00EE299B" w:rsidRPr="00333D41">
        <w:rPr>
          <w:rFonts w:ascii="Times New Roman" w:hAnsi="Times New Roman" w:cs="Times New Roman"/>
        </w:rPr>
        <w:t>cuasi-demeaning</w:t>
      </w:r>
      <w:proofErr w:type="spellEnd"/>
      <w:r w:rsidRPr="00333D41">
        <w:rPr>
          <w:rFonts w:ascii="Times New Roman" w:hAnsi="Times New Roman" w:cs="Times New Roman"/>
        </w:rPr>
        <w:t xml:space="preserve"> de Swamy y Arora (1972) y parámetro θ = 0,528:</w:t>
      </w:r>
    </w:p>
    <w:p w14:paraId="56F48F05" w14:textId="77777777" w:rsidR="000E321E" w:rsidRPr="00333D41" w:rsidRDefault="00000000" w:rsidP="009277A5">
      <w:pPr>
        <w:spacing w:before="120" w:after="120" w:line="480" w:lineRule="auto"/>
        <w:jc w:val="center"/>
        <w:rPr>
          <w:rFonts w:ascii="Times New Roman" w:hAnsi="Times New Roman" w:cs="Times New Roman"/>
        </w:rPr>
      </w:pPr>
      <w:r w:rsidRPr="00333D41">
        <w:rPr>
          <w:rFonts w:ascii="Times New Roman" w:hAnsi="Times New Roman" w:cs="Times New Roman"/>
          <w:i/>
          <w:iCs/>
        </w:rPr>
        <w:t xml:space="preserve">IPMᵢₜ - </w:t>
      </w:r>
      <w:proofErr w:type="spellStart"/>
      <w:r w:rsidRPr="00333D41">
        <w:rPr>
          <w:rFonts w:ascii="Times New Roman" w:hAnsi="Times New Roman" w:cs="Times New Roman"/>
          <w:i/>
          <w:iCs/>
        </w:rPr>
        <w:t>θ·IPM</w:t>
      </w:r>
      <w:proofErr w:type="spellEnd"/>
      <w:r w:rsidRPr="00333D41">
        <w:rPr>
          <w:rFonts w:ascii="Times New Roman" w:hAnsi="Times New Roman" w:cs="Times New Roman"/>
          <w:i/>
          <w:iCs/>
        </w:rPr>
        <w:t>̄ᵢ = (1-</w:t>
      </w:r>
      <w:proofErr w:type="gramStart"/>
      <w:r w:rsidRPr="00333D41">
        <w:rPr>
          <w:rFonts w:ascii="Times New Roman" w:hAnsi="Times New Roman" w:cs="Times New Roman"/>
          <w:i/>
          <w:iCs/>
        </w:rPr>
        <w:t>θ)α</w:t>
      </w:r>
      <w:proofErr w:type="gramEnd"/>
      <w:r w:rsidRPr="00333D41">
        <w:rPr>
          <w:rFonts w:ascii="Times New Roman" w:hAnsi="Times New Roman" w:cs="Times New Roman"/>
          <w:i/>
          <w:iCs/>
        </w:rPr>
        <w:t xml:space="preserve"> + β₁(</w:t>
      </w:r>
      <w:proofErr w:type="spellStart"/>
      <w:proofErr w:type="gramStart"/>
      <w:r w:rsidRPr="00333D41">
        <w:rPr>
          <w:rFonts w:ascii="Times New Roman" w:hAnsi="Times New Roman" w:cs="Times New Roman"/>
          <w:i/>
          <w:iCs/>
        </w:rPr>
        <w:t>ln</w:t>
      </w:r>
      <w:proofErr w:type="spellEnd"/>
      <w:r w:rsidRPr="00333D41">
        <w:rPr>
          <w:rFonts w:ascii="Times New Roman" w:hAnsi="Times New Roman" w:cs="Times New Roman"/>
          <w:i/>
          <w:iCs/>
        </w:rPr>
        <w:t>(</w:t>
      </w:r>
      <w:proofErr w:type="gramEnd"/>
      <w:r w:rsidRPr="00333D41">
        <w:rPr>
          <w:rFonts w:ascii="Times New Roman" w:hAnsi="Times New Roman" w:cs="Times New Roman"/>
          <w:i/>
          <w:iCs/>
        </w:rPr>
        <w:t xml:space="preserve">Víctimasᵢₜ) - </w:t>
      </w:r>
      <w:proofErr w:type="spellStart"/>
      <w:r w:rsidRPr="00333D41">
        <w:rPr>
          <w:rFonts w:ascii="Times New Roman" w:hAnsi="Times New Roman" w:cs="Times New Roman"/>
          <w:i/>
          <w:iCs/>
        </w:rPr>
        <w:t>θ·</w:t>
      </w:r>
      <w:proofErr w:type="gramStart"/>
      <w:r w:rsidRPr="00333D41">
        <w:rPr>
          <w:rFonts w:ascii="Times New Roman" w:hAnsi="Times New Roman" w:cs="Times New Roman"/>
          <w:i/>
          <w:iCs/>
        </w:rPr>
        <w:t>ln</w:t>
      </w:r>
      <w:proofErr w:type="spellEnd"/>
      <w:r w:rsidRPr="00333D41">
        <w:rPr>
          <w:rFonts w:ascii="Times New Roman" w:hAnsi="Times New Roman" w:cs="Times New Roman"/>
          <w:i/>
          <w:iCs/>
        </w:rPr>
        <w:t>(</w:t>
      </w:r>
      <w:proofErr w:type="gramEnd"/>
      <w:r w:rsidRPr="00333D41">
        <w:rPr>
          <w:rFonts w:ascii="Times New Roman" w:hAnsi="Times New Roman" w:cs="Times New Roman"/>
          <w:i/>
          <w:iCs/>
        </w:rPr>
        <w:t xml:space="preserve">Víctimas̄ᵢ)) + Σ </w:t>
      </w:r>
      <w:proofErr w:type="gramStart"/>
      <w:r w:rsidRPr="00333D41">
        <w:rPr>
          <w:rFonts w:ascii="Times New Roman" w:hAnsi="Times New Roman" w:cs="Times New Roman"/>
          <w:i/>
          <w:iCs/>
        </w:rPr>
        <w:t>βₖ(</w:t>
      </w:r>
      <w:proofErr w:type="gramEnd"/>
      <w:r w:rsidRPr="00333D41">
        <w:rPr>
          <w:rFonts w:ascii="Times New Roman" w:hAnsi="Times New Roman" w:cs="Times New Roman"/>
          <w:i/>
          <w:iCs/>
        </w:rPr>
        <w:t xml:space="preserve">Xᵢₜᵏ - </w:t>
      </w:r>
      <w:proofErr w:type="spellStart"/>
      <w:r w:rsidRPr="00333D41">
        <w:rPr>
          <w:rFonts w:ascii="Times New Roman" w:hAnsi="Times New Roman" w:cs="Times New Roman"/>
          <w:i/>
          <w:iCs/>
        </w:rPr>
        <w:t>θ·X</w:t>
      </w:r>
      <w:proofErr w:type="spellEnd"/>
      <w:r w:rsidRPr="00333D41">
        <w:rPr>
          <w:rFonts w:ascii="Times New Roman" w:hAnsi="Times New Roman" w:cs="Times New Roman"/>
          <w:i/>
          <w:iCs/>
        </w:rPr>
        <w:t>̄ᵢᵏ) + υᵢₜ</w:t>
      </w:r>
    </w:p>
    <w:p w14:paraId="7F1F9D23" w14:textId="57DF6B3B" w:rsidR="000E321E" w:rsidRPr="009277A5" w:rsidRDefault="00000000" w:rsidP="009277A5">
      <w:pPr>
        <w:pStyle w:val="Ttulo3"/>
        <w:spacing w:line="360" w:lineRule="auto"/>
      </w:pPr>
      <w:r w:rsidRPr="009277A5">
        <w:t>Test de Hausman</w:t>
      </w:r>
    </w:p>
    <w:p w14:paraId="7ADC3E40" w14:textId="77777777" w:rsidR="000E321E" w:rsidRPr="00333D41" w:rsidRDefault="00000000" w:rsidP="009277A5">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La elección entre efectos fijos y aleatorios se determina mediante </w:t>
      </w:r>
      <w:proofErr w:type="gramStart"/>
      <w:r w:rsidRPr="00333D41">
        <w:rPr>
          <w:rFonts w:ascii="Times New Roman" w:hAnsi="Times New Roman" w:cs="Times New Roman"/>
        </w:rPr>
        <w:t>el test</w:t>
      </w:r>
      <w:proofErr w:type="gramEnd"/>
      <w:r w:rsidRPr="00333D41">
        <w:rPr>
          <w:rFonts w:ascii="Times New Roman" w:hAnsi="Times New Roman" w:cs="Times New Roman"/>
        </w:rPr>
        <w:t xml:space="preserve"> de Hausman (1978):</w:t>
      </w:r>
    </w:p>
    <w:p w14:paraId="6E4D04E0" w14:textId="77777777" w:rsidR="000E321E" w:rsidRPr="00333D41" w:rsidRDefault="00000000" w:rsidP="009277A5">
      <w:pPr>
        <w:spacing w:before="120" w:after="120" w:line="480" w:lineRule="auto"/>
        <w:jc w:val="center"/>
        <w:rPr>
          <w:rFonts w:ascii="Times New Roman" w:hAnsi="Times New Roman" w:cs="Times New Roman"/>
        </w:rPr>
      </w:pPr>
      <w:r w:rsidRPr="00333D41">
        <w:rPr>
          <w:rFonts w:ascii="Times New Roman" w:hAnsi="Times New Roman" w:cs="Times New Roman"/>
          <w:i/>
          <w:iCs/>
        </w:rPr>
        <w:t>H = (β̂FE - β̂</w:t>
      </w:r>
      <w:proofErr w:type="gramStart"/>
      <w:r w:rsidRPr="00333D41">
        <w:rPr>
          <w:rFonts w:ascii="Times New Roman" w:hAnsi="Times New Roman" w:cs="Times New Roman"/>
          <w:i/>
          <w:iCs/>
        </w:rPr>
        <w:t>RE)ᵀ</w:t>
      </w:r>
      <w:proofErr w:type="gramEnd"/>
      <w:r w:rsidRPr="00333D41">
        <w:rPr>
          <w:rFonts w:ascii="Times New Roman" w:hAnsi="Times New Roman" w:cs="Times New Roman"/>
          <w:i/>
          <w:iCs/>
        </w:rPr>
        <w:t xml:space="preserve"> [Var(β̂FE) - Var(β̂RE)]⁻¹ (β̂FE - β̂RE) ~ χ²(k)</w:t>
      </w:r>
    </w:p>
    <w:p w14:paraId="1BC0E74F" w14:textId="75DDCEB3" w:rsidR="000E321E" w:rsidRDefault="00EE299B" w:rsidP="009277A5">
      <w:pPr>
        <w:spacing w:after="180" w:line="480" w:lineRule="auto"/>
        <w:ind w:firstLine="708"/>
        <w:jc w:val="both"/>
        <w:rPr>
          <w:rFonts w:ascii="Times New Roman" w:hAnsi="Times New Roman" w:cs="Times New Roman"/>
        </w:rPr>
      </w:pPr>
      <w:r w:rsidRPr="00333D41">
        <w:rPr>
          <w:rFonts w:ascii="Times New Roman" w:hAnsi="Times New Roman" w:cs="Times New Roman"/>
        </w:rPr>
        <w:lastRenderedPageBreak/>
        <w:t>Si H es mayor que el valor crítico de χ²(k), se rechaza la hipótesis nula que dice que no hay correlación entre los efectos individuales y los regresores, y se elige el estimador de efectos fijos.</w:t>
      </w:r>
    </w:p>
    <w:p w14:paraId="719BEDD1" w14:textId="77777777" w:rsidR="009277A5" w:rsidRPr="00333D41" w:rsidRDefault="009277A5" w:rsidP="009277A5">
      <w:pPr>
        <w:spacing w:after="180" w:line="480" w:lineRule="auto"/>
        <w:ind w:firstLine="708"/>
        <w:jc w:val="both"/>
        <w:rPr>
          <w:rFonts w:ascii="Times New Roman" w:hAnsi="Times New Roman" w:cs="Times New Roman"/>
        </w:rPr>
      </w:pPr>
    </w:p>
    <w:p w14:paraId="27CFF61F" w14:textId="3886732E" w:rsidR="000E321E" w:rsidRPr="009277A5" w:rsidRDefault="00000000" w:rsidP="009277A5">
      <w:pPr>
        <w:pStyle w:val="Ttulo1"/>
        <w:spacing w:line="360" w:lineRule="auto"/>
      </w:pPr>
      <w:r w:rsidRPr="009277A5">
        <w:t>Resultados y discusión</w:t>
      </w:r>
    </w:p>
    <w:p w14:paraId="7021CF76" w14:textId="4D6FC52E" w:rsidR="000E321E" w:rsidRPr="009277A5" w:rsidRDefault="00000000" w:rsidP="009277A5">
      <w:pPr>
        <w:pStyle w:val="Ttulo2"/>
        <w:spacing w:line="360" w:lineRule="auto"/>
      </w:pPr>
      <w:r w:rsidRPr="009277A5">
        <w:t>Caracterización territorial del IPM y el conflicto (OE1 y OE3)</w:t>
      </w:r>
    </w:p>
    <w:p w14:paraId="2209A580" w14:textId="39513C92" w:rsidR="00A55DC4" w:rsidRDefault="00000000" w:rsidP="009277A5">
      <w:pPr>
        <w:spacing w:after="180" w:line="480" w:lineRule="auto"/>
        <w:ind w:firstLine="708"/>
        <w:jc w:val="both"/>
        <w:rPr>
          <w:rFonts w:ascii="Times New Roman" w:hAnsi="Times New Roman" w:cs="Times New Roman"/>
        </w:rPr>
      </w:pPr>
      <w:r w:rsidRPr="00333D41">
        <w:rPr>
          <w:rFonts w:ascii="Times New Roman" w:hAnsi="Times New Roman" w:cs="Times New Roman"/>
        </w:rPr>
        <w:t>En el período 2023–2025, el IPM promedio de los 33 departamentos fue de 18,1 puntos, con una dispersión pronunciada: Bogotá D.C. registra el valor mínimo (2,2), mientras que departamentos como Chocó y Vaupés superan el 60%. Esta distribución confirma la dualidad centro-periferia documentada por Peiró-Palomino et al. (2021): los departamentos periféricos —Amazonia, Pacífico y Caribe— concentran simultáneamente los mayores niveles de pobreza multidimensional y el mayor número acumulado de víctimas del conflicto, con Antioquia, Bolívar, Nariño y Valle del Cauca entre los más afectados (Unidad para las Víctimas, 2025).</w:t>
      </w:r>
    </w:p>
    <w:p w14:paraId="085B948C" w14:textId="77777777" w:rsidR="0094158B" w:rsidRDefault="0094158B" w:rsidP="0094158B">
      <w:pPr>
        <w:ind w:firstLine="708"/>
        <w:jc w:val="center"/>
      </w:pPr>
      <w:r w:rsidRPr="0094158B">
        <w:rPr>
          <w:rFonts w:ascii="Times New Roman" w:hAnsi="Times New Roman" w:cs="Times New Roman"/>
          <w:b/>
          <w:bCs/>
          <w:i/>
          <w:iCs/>
        </w:rPr>
        <w:lastRenderedPageBreak/>
        <w:t>Figura 1. Índice de Pobreza Multidimensional por departamento, Colombia 2025</w:t>
      </w:r>
      <w:r w:rsidRPr="0094158B">
        <w:rPr>
          <w:rFonts w:ascii="Times New Roman" w:hAnsi="Times New Roman" w:cs="Times New Roman"/>
          <w:noProof/>
        </w:rPr>
        <w:drawing>
          <wp:inline distT="0" distB="0" distL="0" distR="0" wp14:anchorId="134DF9EC" wp14:editId="2B49626A">
            <wp:extent cx="5210516" cy="6606540"/>
            <wp:effectExtent l="0" t="0" r="9525" b="3810"/>
            <wp:docPr id="11910451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7045" cy="6614819"/>
                    </a:xfrm>
                    <a:prstGeom prst="rect">
                      <a:avLst/>
                    </a:prstGeom>
                    <a:noFill/>
                    <a:ln>
                      <a:noFill/>
                    </a:ln>
                  </pic:spPr>
                </pic:pic>
              </a:graphicData>
            </a:graphic>
          </wp:inline>
        </w:drawing>
      </w:r>
      <w:r w:rsidRPr="0094158B">
        <w:t xml:space="preserve"> </w:t>
      </w:r>
    </w:p>
    <w:p w14:paraId="317987B6" w14:textId="69CD69AA" w:rsidR="0094158B" w:rsidRPr="0094158B" w:rsidRDefault="0094158B" w:rsidP="0094158B">
      <w:pPr>
        <w:spacing w:after="180"/>
        <w:ind w:firstLine="708"/>
        <w:rPr>
          <w:rFonts w:ascii="Times New Roman" w:hAnsi="Times New Roman" w:cs="Times New Roman"/>
        </w:rPr>
      </w:pPr>
      <w:r w:rsidRPr="0094158B">
        <w:rPr>
          <w:rFonts w:ascii="Times New Roman" w:hAnsi="Times New Roman" w:cs="Times New Roman"/>
          <w:i/>
          <w:iCs/>
        </w:rPr>
        <w:t xml:space="preserve">Fuente: DANE (2023). Elaboración propia con </w:t>
      </w:r>
      <w:proofErr w:type="spellStart"/>
      <w:r w:rsidRPr="0094158B">
        <w:rPr>
          <w:rFonts w:ascii="Times New Roman" w:hAnsi="Times New Roman" w:cs="Times New Roman"/>
          <w:i/>
          <w:iCs/>
        </w:rPr>
        <w:t>Datawrapper</w:t>
      </w:r>
      <w:proofErr w:type="spellEnd"/>
    </w:p>
    <w:p w14:paraId="56328687" w14:textId="77777777" w:rsidR="0094158B" w:rsidRDefault="0094158B" w:rsidP="009277A5">
      <w:pPr>
        <w:spacing w:after="180" w:line="480" w:lineRule="auto"/>
        <w:ind w:firstLine="708"/>
        <w:jc w:val="both"/>
        <w:rPr>
          <w:rFonts w:ascii="Times New Roman" w:hAnsi="Times New Roman" w:cs="Times New Roman"/>
        </w:rPr>
      </w:pPr>
    </w:p>
    <w:p w14:paraId="72FE102F" w14:textId="3138416B" w:rsidR="000E321E" w:rsidRPr="00333D41" w:rsidRDefault="00EE299B" w:rsidP="009277A5">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Esta distribución geográfica es consistente con el tercer objetivo específico. Los departamentos históricamente más afectados por el conflicto —Chocó, Nariño, Cauca, Norte de </w:t>
      </w:r>
      <w:r w:rsidRPr="00333D41">
        <w:rPr>
          <w:rFonts w:ascii="Times New Roman" w:hAnsi="Times New Roman" w:cs="Times New Roman"/>
        </w:rPr>
        <w:lastRenderedPageBreak/>
        <w:t xml:space="preserve">Santander— exhiben IPM significativamente superiores al promedio nacional. Además, concentran privaciones en todas las dimensiones del índice: salud, educación, trabajo, vivienda y condiciones de la </w:t>
      </w:r>
      <w:r w:rsidR="001E0840" w:rsidRPr="00333D41">
        <w:rPr>
          <w:rFonts w:ascii="Times New Roman" w:hAnsi="Times New Roman" w:cs="Times New Roman"/>
        </w:rPr>
        <w:t>niñez. La</w:t>
      </w:r>
      <w:r w:rsidRPr="00333D41">
        <w:rPr>
          <w:rFonts w:ascii="Times New Roman" w:hAnsi="Times New Roman" w:cs="Times New Roman"/>
        </w:rPr>
        <w:t xml:space="preserve"> brecha entre el departamento con mayor IPM y el de menor IPM supera los 68 puntos porcentuales, evidenciando la magnitud de las desigualdades territoriales.</w:t>
      </w:r>
    </w:p>
    <w:p w14:paraId="17BFD835" w14:textId="307C4ACE" w:rsidR="000E321E" w:rsidRPr="009277A5" w:rsidRDefault="00000000" w:rsidP="009277A5">
      <w:pPr>
        <w:pStyle w:val="Ttulo2"/>
        <w:spacing w:line="360" w:lineRule="auto"/>
      </w:pPr>
      <w:r w:rsidRPr="009277A5">
        <w:t>Test de Hausman y elección del modelo</w:t>
      </w:r>
    </w:p>
    <w:p w14:paraId="35D629EB" w14:textId="36A29238" w:rsidR="000E321E" w:rsidRPr="00333D41" w:rsidRDefault="00000000" w:rsidP="009277A5">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El test de Hausman arroja H = 71,81 con 29 grados de libertad y p &lt; 0,001, </w:t>
      </w:r>
      <w:r w:rsidR="00EE299B" w:rsidRPr="00333D41">
        <w:rPr>
          <w:rFonts w:ascii="Times New Roman" w:hAnsi="Times New Roman" w:cs="Times New Roman"/>
        </w:rPr>
        <w:t xml:space="preserve">confirmando la correlación entre los efectos individuales y los </w:t>
      </w:r>
      <w:r w:rsidR="001E0840" w:rsidRPr="00333D41">
        <w:rPr>
          <w:rFonts w:ascii="Times New Roman" w:hAnsi="Times New Roman" w:cs="Times New Roman"/>
        </w:rPr>
        <w:t>regresores. Esto</w:t>
      </w:r>
      <w:r w:rsidRPr="00333D41">
        <w:rPr>
          <w:rFonts w:ascii="Times New Roman" w:hAnsi="Times New Roman" w:cs="Times New Roman"/>
        </w:rPr>
        <w:t xml:space="preserve"> indica que los departamentos presentan características no observadas —historia de conflicto, geografía, capacidades institucionales históricas— correlacionadas con las variables explicativas. Desde una perspectiva de consistencia, el estimador de efectos fijos es el más apropiado.</w:t>
      </w:r>
    </w:p>
    <w:p w14:paraId="7412ECD7" w14:textId="0CB7D3B8" w:rsidR="000E321E" w:rsidRDefault="00000000" w:rsidP="005A11AC">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No obstante, con solo tres años de observación, el estimador de efectos fijos opera únicamente con la variación temporal </w:t>
      </w:r>
      <w:proofErr w:type="spellStart"/>
      <w:r w:rsidRPr="00333D41">
        <w:rPr>
          <w:rFonts w:ascii="Times New Roman" w:hAnsi="Times New Roman" w:cs="Times New Roman"/>
        </w:rPr>
        <w:t>within</w:t>
      </w:r>
      <w:proofErr w:type="spellEnd"/>
      <w:r w:rsidR="00EE299B" w:rsidRPr="00333D41">
        <w:rPr>
          <w:rFonts w:ascii="Times New Roman" w:hAnsi="Times New Roman" w:cs="Times New Roman"/>
        </w:rPr>
        <w:t xml:space="preserve">. Esta variación es muy limitada porque muchos indicadores del IDC cambian </w:t>
      </w:r>
      <w:r w:rsidR="001E0840" w:rsidRPr="00333D41">
        <w:rPr>
          <w:rFonts w:ascii="Times New Roman" w:hAnsi="Times New Roman" w:cs="Times New Roman"/>
        </w:rPr>
        <w:t>lentamente. Por</w:t>
      </w:r>
      <w:r w:rsidRPr="00333D41">
        <w:rPr>
          <w:rFonts w:ascii="Times New Roman" w:hAnsi="Times New Roman" w:cs="Times New Roman"/>
        </w:rPr>
        <w:t xml:space="preserve"> esta razón, los resultados se interpretan de manera conjunta en los tres modelos, destacando los coeficientes robustos en signo y significancia a través de las especificaciones.</w:t>
      </w:r>
    </w:p>
    <w:p w14:paraId="0EEBF2B4" w14:textId="77777777" w:rsidR="00DD07E2" w:rsidRPr="00DD07E2" w:rsidRDefault="00DD07E2" w:rsidP="00DD07E2">
      <w:pPr>
        <w:spacing w:after="180" w:line="480" w:lineRule="auto"/>
        <w:ind w:firstLine="708"/>
        <w:jc w:val="both"/>
        <w:rPr>
          <w:rFonts w:ascii="Times New Roman" w:hAnsi="Times New Roman" w:cs="Times New Roman"/>
        </w:rPr>
      </w:pPr>
      <w:r w:rsidRPr="00DD07E2">
        <w:rPr>
          <w:rFonts w:ascii="Times New Roman" w:hAnsi="Times New Roman" w:cs="Times New Roman"/>
        </w:rPr>
        <w:t>Para verificar que las estimaciones no dependan de supuestos estadísticos frágiles, se corrieron cuatro pruebas adicionales sobre el modelo de efectos fijos. Ninguna de ellas invalida los resultados principales, aunque sí matiza algunos de ellos.</w:t>
      </w:r>
    </w:p>
    <w:p w14:paraId="0CCA93CD" w14:textId="77777777" w:rsidR="00DD07E2" w:rsidRPr="00DD07E2" w:rsidRDefault="00DD07E2" w:rsidP="00DD07E2">
      <w:pPr>
        <w:spacing w:after="180" w:line="480" w:lineRule="auto"/>
        <w:ind w:firstLine="708"/>
        <w:jc w:val="both"/>
        <w:rPr>
          <w:rFonts w:ascii="Times New Roman" w:hAnsi="Times New Roman" w:cs="Times New Roman"/>
        </w:rPr>
      </w:pPr>
      <w:proofErr w:type="gramStart"/>
      <w:r w:rsidRPr="00DD07E2">
        <w:rPr>
          <w:rFonts w:ascii="Times New Roman" w:hAnsi="Times New Roman" w:cs="Times New Roman"/>
        </w:rPr>
        <w:t>El test</w:t>
      </w:r>
      <w:proofErr w:type="gramEnd"/>
      <w:r w:rsidRPr="00DD07E2">
        <w:rPr>
          <w:rFonts w:ascii="Times New Roman" w:hAnsi="Times New Roman" w:cs="Times New Roman"/>
        </w:rPr>
        <w:t xml:space="preserve"> de </w:t>
      </w:r>
      <w:proofErr w:type="spellStart"/>
      <w:r w:rsidRPr="00DD07E2">
        <w:rPr>
          <w:rFonts w:ascii="Times New Roman" w:hAnsi="Times New Roman" w:cs="Times New Roman"/>
        </w:rPr>
        <w:t>Breusch</w:t>
      </w:r>
      <w:proofErr w:type="spellEnd"/>
      <w:r w:rsidRPr="00DD07E2">
        <w:rPr>
          <w:rFonts w:ascii="Times New Roman" w:hAnsi="Times New Roman" w:cs="Times New Roman"/>
        </w:rPr>
        <w:t xml:space="preserve">-Pagan arrojó LM = 14,33 con p = 0,351, lo que indica que los residuos tienen varianza constante a lo largo de las observaciones — en otras palabras, no hay heterocedasticidad que comprometa la validez de los errores estándar reportados. En la misma línea, </w:t>
      </w:r>
      <w:proofErr w:type="gramStart"/>
      <w:r w:rsidRPr="00DD07E2">
        <w:rPr>
          <w:rFonts w:ascii="Times New Roman" w:hAnsi="Times New Roman" w:cs="Times New Roman"/>
        </w:rPr>
        <w:t>el test</w:t>
      </w:r>
      <w:proofErr w:type="gramEnd"/>
      <w:r w:rsidRPr="00DD07E2">
        <w:rPr>
          <w:rFonts w:ascii="Times New Roman" w:hAnsi="Times New Roman" w:cs="Times New Roman"/>
        </w:rPr>
        <w:t xml:space="preserve"> de autocorrelación de Wooldridge (p = 0,771) no detecta correlación serial entre los residuos </w:t>
      </w:r>
      <w:r w:rsidRPr="00DD07E2">
        <w:rPr>
          <w:rFonts w:ascii="Times New Roman" w:hAnsi="Times New Roman" w:cs="Times New Roman"/>
        </w:rPr>
        <w:lastRenderedPageBreak/>
        <w:t xml:space="preserve">de un período a otro, resultado esperable dado que el panel solo cubre tres </w:t>
      </w:r>
      <w:proofErr w:type="gramStart"/>
      <w:r w:rsidRPr="00DD07E2">
        <w:rPr>
          <w:rFonts w:ascii="Times New Roman" w:hAnsi="Times New Roman" w:cs="Times New Roman"/>
        </w:rPr>
        <w:t>años</w:t>
      </w:r>
      <w:proofErr w:type="gramEnd"/>
      <w:r w:rsidRPr="00DD07E2">
        <w:rPr>
          <w:rFonts w:ascii="Times New Roman" w:hAnsi="Times New Roman" w:cs="Times New Roman"/>
        </w:rPr>
        <w:t xml:space="preserve"> pero relevante para descartar sesgos de dependencia temporal.</w:t>
      </w:r>
    </w:p>
    <w:p w14:paraId="5294C520" w14:textId="77777777" w:rsidR="00DD07E2" w:rsidRPr="00DD07E2" w:rsidRDefault="00DD07E2" w:rsidP="00DD07E2">
      <w:pPr>
        <w:spacing w:after="180" w:line="480" w:lineRule="auto"/>
        <w:ind w:firstLine="708"/>
        <w:jc w:val="both"/>
        <w:rPr>
          <w:rFonts w:ascii="Times New Roman" w:hAnsi="Times New Roman" w:cs="Times New Roman"/>
        </w:rPr>
      </w:pPr>
      <w:r w:rsidRPr="00DD07E2">
        <w:rPr>
          <w:rFonts w:ascii="Times New Roman" w:hAnsi="Times New Roman" w:cs="Times New Roman"/>
        </w:rPr>
        <w:t xml:space="preserve">Aun así, dado el número reducido de períodos y la estructura de datos agrupados por departamento, se optó por calcular errores estándar robustos </w:t>
      </w:r>
      <w:proofErr w:type="spellStart"/>
      <w:r w:rsidRPr="00DD07E2">
        <w:rPr>
          <w:rFonts w:ascii="Times New Roman" w:hAnsi="Times New Roman" w:cs="Times New Roman"/>
        </w:rPr>
        <w:t>clusterizados</w:t>
      </w:r>
      <w:proofErr w:type="spellEnd"/>
      <w:r w:rsidRPr="00DD07E2">
        <w:rPr>
          <w:rFonts w:ascii="Times New Roman" w:hAnsi="Times New Roman" w:cs="Times New Roman"/>
        </w:rPr>
        <w:t xml:space="preserve"> a nivel departamental como medida de precaución. Bajo esta especificación más conservadora, cuatro variables mantienen su significancia estadística: la afiliación al régimen subsidiado de salud (β = −17,8; p &lt; 0,001), la cobertura de energía eléctrica (β = +2,3; p = 0,026), los métodos alternativos de resolución de conflictos (β = −0,5; p = 0,016) y la sofisticación empresarial (β = +1,2; p = 0,010). La tasa de homicidios, en cambio, pierde significancia con esta corrección, lo que exige interpretar ese coeficiente con mayor cautela que lo sugerido en los modelos base.</w:t>
      </w:r>
    </w:p>
    <w:p w14:paraId="6B6C6E8F" w14:textId="305B2DD0" w:rsidR="00DD07E2" w:rsidRPr="00333D41" w:rsidRDefault="00DD07E2" w:rsidP="00DD07E2">
      <w:pPr>
        <w:spacing w:after="180" w:line="480" w:lineRule="auto"/>
        <w:ind w:firstLine="708"/>
        <w:jc w:val="both"/>
        <w:rPr>
          <w:rFonts w:ascii="Times New Roman" w:hAnsi="Times New Roman" w:cs="Times New Roman"/>
        </w:rPr>
      </w:pPr>
      <w:r w:rsidRPr="00DD07E2">
        <w:rPr>
          <w:rFonts w:ascii="Times New Roman" w:hAnsi="Times New Roman" w:cs="Times New Roman"/>
        </w:rPr>
        <w:t>Por último, el análisis de factor de inflación de varianza (VIF) muestra que once de las trece variables del modelo final tienen VIF por debajo de 5, lo que descarta problemas de multicolinealidad en la mayor parte del modelo. La variable TIC-1-4 (uso de internet) registra el único VIF por encima de 10 (VIF = 10,25), y la cobertura de alcantarillado un valor moderado de 5,5. Ambos casos son manejables considerando que el LASSO ya penalizó la colinealidad durante la selección de variables — si hubiera multicolinealidad severa entre los regresores, el método la habría reducido directamente al establecer coeficientes en cero.</w:t>
      </w:r>
    </w:p>
    <w:p w14:paraId="1514F775" w14:textId="5D3D69B4" w:rsidR="000E321E" w:rsidRPr="005A11AC" w:rsidRDefault="00000000" w:rsidP="005A11AC">
      <w:pPr>
        <w:pStyle w:val="Ttulo2"/>
        <w:spacing w:line="360" w:lineRule="auto"/>
      </w:pPr>
      <w:r w:rsidRPr="005A11AC">
        <w:t>El conflicto armado y el IPM (OE2)</w:t>
      </w:r>
    </w:p>
    <w:p w14:paraId="60660703" w14:textId="7607DC83" w:rsidR="000E321E" w:rsidRPr="00333D41" w:rsidRDefault="00EE299B" w:rsidP="005A11AC">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La variable central, </w:t>
      </w:r>
      <w:proofErr w:type="spellStart"/>
      <w:proofErr w:type="gramStart"/>
      <w:r w:rsidRPr="00333D41">
        <w:rPr>
          <w:rFonts w:ascii="Times New Roman" w:hAnsi="Times New Roman" w:cs="Times New Roman"/>
        </w:rPr>
        <w:t>ln</w:t>
      </w:r>
      <w:proofErr w:type="spellEnd"/>
      <w:r w:rsidRPr="00333D41">
        <w:rPr>
          <w:rFonts w:ascii="Times New Roman" w:hAnsi="Times New Roman" w:cs="Times New Roman"/>
        </w:rPr>
        <w:t>(</w:t>
      </w:r>
      <w:proofErr w:type="gramEnd"/>
      <w:r w:rsidRPr="00333D41">
        <w:rPr>
          <w:rFonts w:ascii="Times New Roman" w:hAnsi="Times New Roman" w:cs="Times New Roman"/>
        </w:rPr>
        <w:t xml:space="preserve">Víctimas), presenta un coeficiente positivo en los tres modelos. </w:t>
      </w:r>
      <w:proofErr w:type="spellStart"/>
      <w:r w:rsidRPr="00333D41">
        <w:rPr>
          <w:rFonts w:ascii="Times New Roman" w:hAnsi="Times New Roman" w:cs="Times New Roman"/>
        </w:rPr>
        <w:t>Pooled</w:t>
      </w:r>
      <w:proofErr w:type="spellEnd"/>
      <w:r w:rsidRPr="00333D41">
        <w:rPr>
          <w:rFonts w:ascii="Times New Roman" w:hAnsi="Times New Roman" w:cs="Times New Roman"/>
        </w:rPr>
        <w:t xml:space="preserve"> OLS: β = +0,315 (p = 0,515); EF: β = +3,710 (p = 0,320); EA: β = +0,185 (p = 0,799)—. Esto indica </w:t>
      </w:r>
      <w:r w:rsidR="005A11AC" w:rsidRPr="00333D41">
        <w:rPr>
          <w:rFonts w:ascii="Times New Roman" w:hAnsi="Times New Roman" w:cs="Times New Roman"/>
        </w:rPr>
        <w:t>que,</w:t>
      </w:r>
      <w:r w:rsidRPr="00333D41">
        <w:rPr>
          <w:rFonts w:ascii="Times New Roman" w:hAnsi="Times New Roman" w:cs="Times New Roman"/>
        </w:rPr>
        <w:t xml:space="preserve"> a mayor número de víctimas del conflicto, mayor es el IPM departamental, en línea con la </w:t>
      </w:r>
      <w:r w:rsidRPr="00333D41">
        <w:rPr>
          <w:rFonts w:ascii="Times New Roman" w:hAnsi="Times New Roman" w:cs="Times New Roman"/>
        </w:rPr>
        <w:lastRenderedPageBreak/>
        <w:t xml:space="preserve">hipótesis de </w:t>
      </w:r>
      <w:r w:rsidR="001E0840" w:rsidRPr="00333D41">
        <w:rPr>
          <w:rFonts w:ascii="Times New Roman" w:hAnsi="Times New Roman" w:cs="Times New Roman"/>
        </w:rPr>
        <w:t>investigación. Sin</w:t>
      </w:r>
      <w:r w:rsidRPr="00333D41">
        <w:rPr>
          <w:rFonts w:ascii="Times New Roman" w:hAnsi="Times New Roman" w:cs="Times New Roman"/>
        </w:rPr>
        <w:t xml:space="preserve"> embargo, el coeficiente no alcanza significancia estadística en ninguna especificación.</w:t>
      </w:r>
    </w:p>
    <w:p w14:paraId="4527F12E" w14:textId="62FC5B25" w:rsidR="000E321E" w:rsidRPr="00333D41" w:rsidRDefault="00EE299B" w:rsidP="005A11AC">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Este resultado sugiere que el conflicto incide sobre la pobreza </w:t>
      </w:r>
      <w:r w:rsidR="001E0840" w:rsidRPr="00333D41">
        <w:rPr>
          <w:rFonts w:ascii="Times New Roman" w:hAnsi="Times New Roman" w:cs="Times New Roman"/>
        </w:rPr>
        <w:t>multidimensional. Con</w:t>
      </w:r>
      <w:r w:rsidRPr="00333D41">
        <w:rPr>
          <w:rFonts w:ascii="Times New Roman" w:hAnsi="Times New Roman" w:cs="Times New Roman"/>
        </w:rPr>
        <w:t xml:space="preserve"> solo tres años de panel, la variación temporal en el número de víctimas es reducida —la mayoría de los departamentos mantienen cifras estables—, dificultando la identificación del efecto causal. Además, el número de víctimas captura fundamentalmente la variación entre departamentos, ya absorbida en gran medida por los indicadores del IDC. Este descubrimiento está de acuerdo con lo que dice la literatura: los efectos del conflicto en la pobreza suceden principalmente a través de factores intermedios, como la destrucción de bienes, el deterioro de instituciones y el desplazamiento, en lugar de tener un impacto directo </w:t>
      </w:r>
      <w:proofErr w:type="spellStart"/>
      <w:r w:rsidRPr="00333D41">
        <w:rPr>
          <w:rFonts w:ascii="Times New Roman" w:hAnsi="Times New Roman" w:cs="Times New Roman"/>
        </w:rPr>
        <w:t>y</w:t>
      </w:r>
      <w:proofErr w:type="spellEnd"/>
      <w:r w:rsidRPr="00333D41">
        <w:rPr>
          <w:rFonts w:ascii="Times New Roman" w:hAnsi="Times New Roman" w:cs="Times New Roman"/>
        </w:rPr>
        <w:t xml:space="preserve"> inmediato (Collier y Hoeffler, 2004; Cantillo y Garza, 2022).</w:t>
      </w:r>
    </w:p>
    <w:p w14:paraId="285C4B8D" w14:textId="3357E255" w:rsidR="000E321E" w:rsidRPr="005A11AC" w:rsidRDefault="00000000" w:rsidP="005A11AC">
      <w:pPr>
        <w:pStyle w:val="Ttulo2"/>
        <w:spacing w:line="360" w:lineRule="auto"/>
      </w:pPr>
      <w:r w:rsidRPr="005A11AC">
        <w:t>Variables del IDC con mayor poder explicativo</w:t>
      </w:r>
    </w:p>
    <w:p w14:paraId="77CB31E4" w14:textId="77777777" w:rsidR="000E321E" w:rsidRPr="00333D41" w:rsidRDefault="00000000" w:rsidP="00333D41">
      <w:pPr>
        <w:spacing w:before="240" w:after="40" w:line="480" w:lineRule="auto"/>
        <w:jc w:val="both"/>
        <w:rPr>
          <w:rFonts w:ascii="Times New Roman" w:hAnsi="Times New Roman" w:cs="Times New Roman"/>
        </w:rPr>
      </w:pPr>
      <w:r w:rsidRPr="00333D41">
        <w:rPr>
          <w:rFonts w:ascii="Times New Roman" w:hAnsi="Times New Roman" w:cs="Times New Roman"/>
          <w:b/>
          <w:bCs/>
        </w:rPr>
        <w:t>Tabla 1.</w:t>
      </w:r>
    </w:p>
    <w:p w14:paraId="4945F795" w14:textId="77777777" w:rsidR="000E321E" w:rsidRPr="00333D41" w:rsidRDefault="00000000" w:rsidP="00333D41">
      <w:pPr>
        <w:spacing w:after="120" w:line="480" w:lineRule="auto"/>
        <w:jc w:val="both"/>
        <w:rPr>
          <w:rFonts w:ascii="Times New Roman" w:hAnsi="Times New Roman" w:cs="Times New Roman"/>
        </w:rPr>
      </w:pPr>
      <w:r w:rsidRPr="00333D41">
        <w:rPr>
          <w:rFonts w:ascii="Times New Roman" w:hAnsi="Times New Roman" w:cs="Times New Roman"/>
          <w:i/>
          <w:iCs/>
        </w:rPr>
        <w:t>Estimaciones del modelo de panel de datos: variable dependiente IPM departamental (2023–2025)</w:t>
      </w:r>
    </w:p>
    <w:tbl>
      <w:tblPr>
        <w:tblStyle w:val="Tablaconcuadrcula"/>
        <w:tblW w:w="0" w:type="auto"/>
        <w:jc w:val="center"/>
        <w:tblLook w:val="04A0" w:firstRow="1" w:lastRow="0" w:firstColumn="1" w:lastColumn="0" w:noHBand="0" w:noVBand="1"/>
      </w:tblPr>
      <w:tblGrid>
        <w:gridCol w:w="1790"/>
        <w:gridCol w:w="3208"/>
        <w:gridCol w:w="1422"/>
        <w:gridCol w:w="1307"/>
        <w:gridCol w:w="1803"/>
      </w:tblGrid>
      <w:tr w:rsidR="000E321E" w:rsidRPr="00333D41" w14:paraId="4F408302" w14:textId="77777777" w:rsidTr="007D546D">
        <w:trPr>
          <w:jc w:val="center"/>
        </w:trPr>
        <w:tc>
          <w:tcPr>
            <w:tcW w:w="0" w:type="auto"/>
          </w:tcPr>
          <w:p w14:paraId="1C37DD6E" w14:textId="77777777" w:rsidR="000E321E" w:rsidRPr="00333D41" w:rsidRDefault="00000000" w:rsidP="00333D41">
            <w:pPr>
              <w:spacing w:line="480" w:lineRule="auto"/>
              <w:jc w:val="both"/>
              <w:rPr>
                <w:rFonts w:ascii="Times New Roman" w:hAnsi="Times New Roman" w:cs="Times New Roman"/>
                <w:color w:val="000000" w:themeColor="text1"/>
              </w:rPr>
            </w:pPr>
            <w:r w:rsidRPr="00333D41">
              <w:rPr>
                <w:rFonts w:ascii="Times New Roman" w:hAnsi="Times New Roman" w:cs="Times New Roman"/>
                <w:b/>
                <w:bCs/>
                <w:color w:val="000000" w:themeColor="text1"/>
              </w:rPr>
              <w:t>Código</w:t>
            </w:r>
          </w:p>
        </w:tc>
        <w:tc>
          <w:tcPr>
            <w:tcW w:w="0" w:type="auto"/>
          </w:tcPr>
          <w:p w14:paraId="263697AF" w14:textId="77777777" w:rsidR="000E321E" w:rsidRPr="00333D41" w:rsidRDefault="00000000" w:rsidP="00333D41">
            <w:pPr>
              <w:spacing w:line="480" w:lineRule="auto"/>
              <w:jc w:val="both"/>
              <w:rPr>
                <w:rFonts w:ascii="Times New Roman" w:hAnsi="Times New Roman" w:cs="Times New Roman"/>
                <w:color w:val="000000" w:themeColor="text1"/>
              </w:rPr>
            </w:pPr>
            <w:r w:rsidRPr="00333D41">
              <w:rPr>
                <w:rFonts w:ascii="Times New Roman" w:hAnsi="Times New Roman" w:cs="Times New Roman"/>
                <w:b/>
                <w:bCs/>
                <w:color w:val="000000" w:themeColor="text1"/>
              </w:rPr>
              <w:t>Variable</w:t>
            </w:r>
          </w:p>
        </w:tc>
        <w:tc>
          <w:tcPr>
            <w:tcW w:w="0" w:type="auto"/>
          </w:tcPr>
          <w:p w14:paraId="1765DC6F" w14:textId="77777777" w:rsidR="000E321E" w:rsidRPr="00333D41" w:rsidRDefault="00000000" w:rsidP="00333D41">
            <w:pPr>
              <w:spacing w:line="480" w:lineRule="auto"/>
              <w:jc w:val="both"/>
              <w:rPr>
                <w:rFonts w:ascii="Times New Roman" w:hAnsi="Times New Roman" w:cs="Times New Roman"/>
                <w:color w:val="000000" w:themeColor="text1"/>
              </w:rPr>
            </w:pPr>
            <w:proofErr w:type="spellStart"/>
            <w:r w:rsidRPr="00333D41">
              <w:rPr>
                <w:rFonts w:ascii="Times New Roman" w:hAnsi="Times New Roman" w:cs="Times New Roman"/>
                <w:b/>
                <w:bCs/>
                <w:color w:val="000000" w:themeColor="text1"/>
              </w:rPr>
              <w:t>Pooled</w:t>
            </w:r>
            <w:proofErr w:type="spellEnd"/>
            <w:r w:rsidRPr="00333D41">
              <w:rPr>
                <w:rFonts w:ascii="Times New Roman" w:hAnsi="Times New Roman" w:cs="Times New Roman"/>
                <w:b/>
                <w:bCs/>
                <w:color w:val="000000" w:themeColor="text1"/>
              </w:rPr>
              <w:t xml:space="preserve"> OLS</w:t>
            </w:r>
          </w:p>
        </w:tc>
        <w:tc>
          <w:tcPr>
            <w:tcW w:w="0" w:type="auto"/>
          </w:tcPr>
          <w:p w14:paraId="39C64938" w14:textId="77777777" w:rsidR="000E321E" w:rsidRPr="00333D41" w:rsidRDefault="00000000" w:rsidP="00333D41">
            <w:pPr>
              <w:spacing w:line="480" w:lineRule="auto"/>
              <w:jc w:val="both"/>
              <w:rPr>
                <w:rFonts w:ascii="Times New Roman" w:hAnsi="Times New Roman" w:cs="Times New Roman"/>
                <w:color w:val="000000" w:themeColor="text1"/>
              </w:rPr>
            </w:pPr>
            <w:r w:rsidRPr="00333D41">
              <w:rPr>
                <w:rFonts w:ascii="Times New Roman" w:hAnsi="Times New Roman" w:cs="Times New Roman"/>
                <w:b/>
                <w:bCs/>
                <w:color w:val="000000" w:themeColor="text1"/>
              </w:rPr>
              <w:t>Ef. Fijos</w:t>
            </w:r>
          </w:p>
        </w:tc>
        <w:tc>
          <w:tcPr>
            <w:tcW w:w="0" w:type="auto"/>
          </w:tcPr>
          <w:p w14:paraId="06F3BA58" w14:textId="77777777" w:rsidR="000E321E" w:rsidRPr="00333D41" w:rsidRDefault="00000000" w:rsidP="00333D41">
            <w:pPr>
              <w:spacing w:line="480" w:lineRule="auto"/>
              <w:jc w:val="both"/>
              <w:rPr>
                <w:rFonts w:ascii="Times New Roman" w:hAnsi="Times New Roman" w:cs="Times New Roman"/>
                <w:color w:val="000000" w:themeColor="text1"/>
              </w:rPr>
            </w:pPr>
            <w:r w:rsidRPr="00333D41">
              <w:rPr>
                <w:rFonts w:ascii="Times New Roman" w:hAnsi="Times New Roman" w:cs="Times New Roman"/>
                <w:b/>
                <w:bCs/>
                <w:color w:val="000000" w:themeColor="text1"/>
              </w:rPr>
              <w:t xml:space="preserve">Ef. Aleatorios </w:t>
            </w:r>
            <w:r w:rsidRPr="00333D41">
              <w:rPr>
                <w:rFonts w:ascii="Segoe UI Symbol" w:hAnsi="Segoe UI Symbol" w:cs="Segoe UI Symbol"/>
                <w:b/>
                <w:bCs/>
                <w:color w:val="000000" w:themeColor="text1"/>
              </w:rPr>
              <w:t>★</w:t>
            </w:r>
          </w:p>
        </w:tc>
      </w:tr>
      <w:tr w:rsidR="000E321E" w:rsidRPr="00333D41" w14:paraId="1F5006A2" w14:textId="77777777" w:rsidTr="007D546D">
        <w:trPr>
          <w:jc w:val="center"/>
        </w:trPr>
        <w:tc>
          <w:tcPr>
            <w:tcW w:w="0" w:type="auto"/>
          </w:tcPr>
          <w:p w14:paraId="78EEB0AD"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INS-4-1</w:t>
            </w:r>
          </w:p>
        </w:tc>
        <w:tc>
          <w:tcPr>
            <w:tcW w:w="0" w:type="auto"/>
          </w:tcPr>
          <w:p w14:paraId="77FCCB97"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Tasa de homicidios</w:t>
            </w:r>
          </w:p>
        </w:tc>
        <w:tc>
          <w:tcPr>
            <w:tcW w:w="0" w:type="auto"/>
          </w:tcPr>
          <w:p w14:paraId="381B4BAE"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+0.905***</w:t>
            </w:r>
          </w:p>
        </w:tc>
        <w:tc>
          <w:tcPr>
            <w:tcW w:w="0" w:type="auto"/>
          </w:tcPr>
          <w:p w14:paraId="0A331460"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+0.470</w:t>
            </w:r>
          </w:p>
        </w:tc>
        <w:tc>
          <w:tcPr>
            <w:tcW w:w="0" w:type="auto"/>
          </w:tcPr>
          <w:p w14:paraId="64A16942"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b/>
                <w:bCs/>
              </w:rPr>
              <w:t>+0.671**</w:t>
            </w:r>
          </w:p>
        </w:tc>
      </w:tr>
      <w:tr w:rsidR="000E321E" w:rsidRPr="00333D41" w14:paraId="563DC87C" w14:textId="77777777" w:rsidTr="007D546D">
        <w:trPr>
          <w:jc w:val="center"/>
        </w:trPr>
        <w:tc>
          <w:tcPr>
            <w:tcW w:w="0" w:type="auto"/>
          </w:tcPr>
          <w:p w14:paraId="5C1B3FC7"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SAL-2-3</w:t>
            </w:r>
          </w:p>
        </w:tc>
        <w:tc>
          <w:tcPr>
            <w:tcW w:w="0" w:type="auto"/>
          </w:tcPr>
          <w:p w14:paraId="1C6AA7B6" w14:textId="71B6F4FC"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 xml:space="preserve">Afiliación </w:t>
            </w:r>
            <w:r w:rsidR="00EE299B" w:rsidRPr="00333D41">
              <w:rPr>
                <w:rFonts w:ascii="Times New Roman" w:hAnsi="Times New Roman" w:cs="Times New Roman"/>
              </w:rPr>
              <w:t>a salud</w:t>
            </w:r>
            <w:r w:rsidRPr="00333D41">
              <w:rPr>
                <w:rFonts w:ascii="Times New Roman" w:hAnsi="Times New Roman" w:cs="Times New Roman"/>
              </w:rPr>
              <w:t xml:space="preserve"> subsidiada</w:t>
            </w:r>
          </w:p>
        </w:tc>
        <w:tc>
          <w:tcPr>
            <w:tcW w:w="0" w:type="auto"/>
          </w:tcPr>
          <w:p w14:paraId="42B0B29B"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-1.493***</w:t>
            </w:r>
          </w:p>
        </w:tc>
        <w:tc>
          <w:tcPr>
            <w:tcW w:w="0" w:type="auto"/>
          </w:tcPr>
          <w:p w14:paraId="0FC0B4B6"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-20.281***</w:t>
            </w:r>
          </w:p>
        </w:tc>
        <w:tc>
          <w:tcPr>
            <w:tcW w:w="0" w:type="auto"/>
          </w:tcPr>
          <w:p w14:paraId="6EE159C5"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b/>
                <w:bCs/>
              </w:rPr>
              <w:t>-1.474**</w:t>
            </w:r>
          </w:p>
        </w:tc>
      </w:tr>
      <w:tr w:rsidR="000E321E" w:rsidRPr="00333D41" w14:paraId="769592B3" w14:textId="77777777" w:rsidTr="007D546D">
        <w:trPr>
          <w:jc w:val="center"/>
        </w:trPr>
        <w:tc>
          <w:tcPr>
            <w:tcW w:w="0" w:type="auto"/>
          </w:tcPr>
          <w:p w14:paraId="1B4128DF"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INF-1-3</w:t>
            </w:r>
          </w:p>
        </w:tc>
        <w:tc>
          <w:tcPr>
            <w:tcW w:w="0" w:type="auto"/>
          </w:tcPr>
          <w:p w14:paraId="2DC9B51A" w14:textId="6AFD1203"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 xml:space="preserve">Cobertura </w:t>
            </w:r>
            <w:r w:rsidR="00EE299B" w:rsidRPr="00333D41">
              <w:rPr>
                <w:rFonts w:ascii="Times New Roman" w:hAnsi="Times New Roman" w:cs="Times New Roman"/>
              </w:rPr>
              <w:t>de energía</w:t>
            </w:r>
            <w:r w:rsidRPr="00333D41">
              <w:rPr>
                <w:rFonts w:ascii="Times New Roman" w:hAnsi="Times New Roman" w:cs="Times New Roman"/>
              </w:rPr>
              <w:t xml:space="preserve"> eléctrica</w:t>
            </w:r>
          </w:p>
        </w:tc>
        <w:tc>
          <w:tcPr>
            <w:tcW w:w="0" w:type="auto"/>
          </w:tcPr>
          <w:p w14:paraId="2E3561DD"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-1.700***</w:t>
            </w:r>
          </w:p>
        </w:tc>
        <w:tc>
          <w:tcPr>
            <w:tcW w:w="0" w:type="auto"/>
          </w:tcPr>
          <w:p w14:paraId="50F836B2"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+0.753</w:t>
            </w:r>
          </w:p>
        </w:tc>
        <w:tc>
          <w:tcPr>
            <w:tcW w:w="0" w:type="auto"/>
          </w:tcPr>
          <w:p w14:paraId="5D573B94"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b/>
                <w:bCs/>
              </w:rPr>
              <w:t>-2.067***</w:t>
            </w:r>
          </w:p>
        </w:tc>
      </w:tr>
      <w:tr w:rsidR="000E321E" w:rsidRPr="00333D41" w14:paraId="2556DEAD" w14:textId="77777777" w:rsidTr="007D546D">
        <w:trPr>
          <w:jc w:val="center"/>
        </w:trPr>
        <w:tc>
          <w:tcPr>
            <w:tcW w:w="0" w:type="auto"/>
          </w:tcPr>
          <w:p w14:paraId="6329D97B"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EDU-2-4</w:t>
            </w:r>
          </w:p>
        </w:tc>
        <w:tc>
          <w:tcPr>
            <w:tcW w:w="0" w:type="auto"/>
          </w:tcPr>
          <w:p w14:paraId="578938A5"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Pruebas Saber 11</w:t>
            </w:r>
          </w:p>
        </w:tc>
        <w:tc>
          <w:tcPr>
            <w:tcW w:w="0" w:type="auto"/>
          </w:tcPr>
          <w:p w14:paraId="464F0089"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-0.988**</w:t>
            </w:r>
          </w:p>
        </w:tc>
        <w:tc>
          <w:tcPr>
            <w:tcW w:w="0" w:type="auto"/>
          </w:tcPr>
          <w:p w14:paraId="5FD46581"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+0.719</w:t>
            </w:r>
          </w:p>
        </w:tc>
        <w:tc>
          <w:tcPr>
            <w:tcW w:w="0" w:type="auto"/>
          </w:tcPr>
          <w:p w14:paraId="7246E89E"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b/>
                <w:bCs/>
              </w:rPr>
              <w:t>-1.250**</w:t>
            </w:r>
          </w:p>
        </w:tc>
      </w:tr>
      <w:tr w:rsidR="000E321E" w:rsidRPr="00333D41" w14:paraId="7378B7ED" w14:textId="77777777" w:rsidTr="007D546D">
        <w:trPr>
          <w:jc w:val="center"/>
        </w:trPr>
        <w:tc>
          <w:tcPr>
            <w:tcW w:w="0" w:type="auto"/>
          </w:tcPr>
          <w:p w14:paraId="10A94E45"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LAB-1-3</w:t>
            </w:r>
          </w:p>
        </w:tc>
        <w:tc>
          <w:tcPr>
            <w:tcW w:w="0" w:type="auto"/>
          </w:tcPr>
          <w:p w14:paraId="4A2C621E"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Tasa de desempleo (inv.)</w:t>
            </w:r>
          </w:p>
        </w:tc>
        <w:tc>
          <w:tcPr>
            <w:tcW w:w="0" w:type="auto"/>
          </w:tcPr>
          <w:p w14:paraId="23BCE374"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-1.960***</w:t>
            </w:r>
          </w:p>
        </w:tc>
        <w:tc>
          <w:tcPr>
            <w:tcW w:w="0" w:type="auto"/>
          </w:tcPr>
          <w:p w14:paraId="206EA8B7"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+2.708*</w:t>
            </w:r>
          </w:p>
        </w:tc>
        <w:tc>
          <w:tcPr>
            <w:tcW w:w="0" w:type="auto"/>
          </w:tcPr>
          <w:p w14:paraId="504B4A93"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-1.362*</w:t>
            </w:r>
          </w:p>
        </w:tc>
      </w:tr>
      <w:tr w:rsidR="000E321E" w:rsidRPr="00333D41" w14:paraId="476CB371" w14:textId="77777777" w:rsidTr="007D546D">
        <w:trPr>
          <w:jc w:val="center"/>
        </w:trPr>
        <w:tc>
          <w:tcPr>
            <w:tcW w:w="0" w:type="auto"/>
          </w:tcPr>
          <w:p w14:paraId="7934E6B8"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lastRenderedPageBreak/>
              <w:t>LAB-1-2</w:t>
            </w:r>
          </w:p>
        </w:tc>
        <w:tc>
          <w:tcPr>
            <w:tcW w:w="0" w:type="auto"/>
          </w:tcPr>
          <w:p w14:paraId="7D842923"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Tasa de informalidad (inv.)</w:t>
            </w:r>
          </w:p>
        </w:tc>
        <w:tc>
          <w:tcPr>
            <w:tcW w:w="0" w:type="auto"/>
          </w:tcPr>
          <w:p w14:paraId="522B0D23"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-1.316**</w:t>
            </w:r>
          </w:p>
        </w:tc>
        <w:tc>
          <w:tcPr>
            <w:tcW w:w="0" w:type="auto"/>
          </w:tcPr>
          <w:p w14:paraId="58A3E76F"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+1.374</w:t>
            </w:r>
          </w:p>
        </w:tc>
        <w:tc>
          <w:tcPr>
            <w:tcW w:w="0" w:type="auto"/>
          </w:tcPr>
          <w:p w14:paraId="22F2607F"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-0.830</w:t>
            </w:r>
          </w:p>
        </w:tc>
      </w:tr>
      <w:tr w:rsidR="000E321E" w:rsidRPr="00333D41" w14:paraId="3C357BB2" w14:textId="77777777" w:rsidTr="007D546D">
        <w:trPr>
          <w:jc w:val="center"/>
        </w:trPr>
        <w:tc>
          <w:tcPr>
            <w:tcW w:w="0" w:type="auto"/>
          </w:tcPr>
          <w:p w14:paraId="302CBE95"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INS-4-6</w:t>
            </w:r>
          </w:p>
        </w:tc>
        <w:tc>
          <w:tcPr>
            <w:tcW w:w="0" w:type="auto"/>
          </w:tcPr>
          <w:p w14:paraId="3F982D60"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 xml:space="preserve">Métodos </w:t>
            </w:r>
            <w:proofErr w:type="spellStart"/>
            <w:r w:rsidRPr="00333D41">
              <w:rPr>
                <w:rFonts w:ascii="Times New Roman" w:hAnsi="Times New Roman" w:cs="Times New Roman"/>
              </w:rPr>
              <w:t>alt</w:t>
            </w:r>
            <w:proofErr w:type="spellEnd"/>
            <w:r w:rsidRPr="00333D41">
              <w:rPr>
                <w:rFonts w:ascii="Times New Roman" w:hAnsi="Times New Roman" w:cs="Times New Roman"/>
              </w:rPr>
              <w:t>. resolución conflictos</w:t>
            </w:r>
          </w:p>
        </w:tc>
        <w:tc>
          <w:tcPr>
            <w:tcW w:w="0" w:type="auto"/>
          </w:tcPr>
          <w:p w14:paraId="4C118E25"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-0.665**</w:t>
            </w:r>
          </w:p>
        </w:tc>
        <w:tc>
          <w:tcPr>
            <w:tcW w:w="0" w:type="auto"/>
          </w:tcPr>
          <w:p w14:paraId="58870C37"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-0.360</w:t>
            </w:r>
          </w:p>
        </w:tc>
        <w:tc>
          <w:tcPr>
            <w:tcW w:w="0" w:type="auto"/>
          </w:tcPr>
          <w:p w14:paraId="4FEC6D9A"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-0.488*</w:t>
            </w:r>
          </w:p>
        </w:tc>
      </w:tr>
      <w:tr w:rsidR="000E321E" w:rsidRPr="00333D41" w14:paraId="184ABB38" w14:textId="77777777" w:rsidTr="007D546D">
        <w:trPr>
          <w:jc w:val="center"/>
        </w:trPr>
        <w:tc>
          <w:tcPr>
            <w:tcW w:w="0" w:type="auto"/>
          </w:tcPr>
          <w:p w14:paraId="6AD731D4"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TIC-1-4</w:t>
            </w:r>
          </w:p>
        </w:tc>
        <w:tc>
          <w:tcPr>
            <w:tcW w:w="0" w:type="auto"/>
          </w:tcPr>
          <w:p w14:paraId="5C9F8DDF"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Uso de internet</w:t>
            </w:r>
          </w:p>
        </w:tc>
        <w:tc>
          <w:tcPr>
            <w:tcW w:w="0" w:type="auto"/>
          </w:tcPr>
          <w:p w14:paraId="70128797"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-1.189*</w:t>
            </w:r>
          </w:p>
        </w:tc>
        <w:tc>
          <w:tcPr>
            <w:tcW w:w="0" w:type="auto"/>
          </w:tcPr>
          <w:p w14:paraId="11E8950F"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+0.952</w:t>
            </w:r>
          </w:p>
        </w:tc>
        <w:tc>
          <w:tcPr>
            <w:tcW w:w="0" w:type="auto"/>
          </w:tcPr>
          <w:p w14:paraId="22AB14D4"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-0.766</w:t>
            </w:r>
          </w:p>
        </w:tc>
      </w:tr>
      <w:tr w:rsidR="000E321E" w:rsidRPr="00333D41" w14:paraId="6D5B0DEC" w14:textId="77777777" w:rsidTr="007D546D">
        <w:trPr>
          <w:jc w:val="center"/>
        </w:trPr>
        <w:tc>
          <w:tcPr>
            <w:tcW w:w="0" w:type="auto"/>
          </w:tcPr>
          <w:p w14:paraId="05FD21A6"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INF-1-4</w:t>
            </w:r>
          </w:p>
        </w:tc>
        <w:tc>
          <w:tcPr>
            <w:tcW w:w="0" w:type="auto"/>
          </w:tcPr>
          <w:p w14:paraId="5B0089A9" w14:textId="3363140F"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 xml:space="preserve">Costo </w:t>
            </w:r>
            <w:r w:rsidR="00EE299B" w:rsidRPr="00333D41">
              <w:rPr>
                <w:rFonts w:ascii="Times New Roman" w:hAnsi="Times New Roman" w:cs="Times New Roman"/>
              </w:rPr>
              <w:t>de energía</w:t>
            </w:r>
            <w:r w:rsidRPr="00333D41">
              <w:rPr>
                <w:rFonts w:ascii="Times New Roman" w:hAnsi="Times New Roman" w:cs="Times New Roman"/>
              </w:rPr>
              <w:t xml:space="preserve"> eléctrica</w:t>
            </w:r>
          </w:p>
        </w:tc>
        <w:tc>
          <w:tcPr>
            <w:tcW w:w="0" w:type="auto"/>
          </w:tcPr>
          <w:p w14:paraId="3EAE069D"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-0.772</w:t>
            </w:r>
          </w:p>
        </w:tc>
        <w:tc>
          <w:tcPr>
            <w:tcW w:w="0" w:type="auto"/>
          </w:tcPr>
          <w:p w14:paraId="3540964B"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-1.650**</w:t>
            </w:r>
          </w:p>
        </w:tc>
        <w:tc>
          <w:tcPr>
            <w:tcW w:w="0" w:type="auto"/>
          </w:tcPr>
          <w:p w14:paraId="09D28C3F"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-0.874*</w:t>
            </w:r>
          </w:p>
        </w:tc>
      </w:tr>
      <w:tr w:rsidR="000E321E" w:rsidRPr="00333D41" w14:paraId="7F2C286E" w14:textId="77777777" w:rsidTr="007D546D">
        <w:trPr>
          <w:jc w:val="center"/>
        </w:trPr>
        <w:tc>
          <w:tcPr>
            <w:tcW w:w="0" w:type="auto"/>
          </w:tcPr>
          <w:p w14:paraId="59320A0C"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SOF</w:t>
            </w:r>
          </w:p>
        </w:tc>
        <w:tc>
          <w:tcPr>
            <w:tcW w:w="0" w:type="auto"/>
          </w:tcPr>
          <w:p w14:paraId="6FB85D2D"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Sofisticación empresarial (pilar)</w:t>
            </w:r>
          </w:p>
        </w:tc>
        <w:tc>
          <w:tcPr>
            <w:tcW w:w="0" w:type="auto"/>
          </w:tcPr>
          <w:p w14:paraId="0EDB79FE"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+0.572</w:t>
            </w:r>
          </w:p>
        </w:tc>
        <w:tc>
          <w:tcPr>
            <w:tcW w:w="0" w:type="auto"/>
          </w:tcPr>
          <w:p w14:paraId="14E3B575"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+2.080***</w:t>
            </w:r>
          </w:p>
        </w:tc>
        <w:tc>
          <w:tcPr>
            <w:tcW w:w="0" w:type="auto"/>
          </w:tcPr>
          <w:p w14:paraId="7EB4F51C"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+0.907*</w:t>
            </w:r>
          </w:p>
        </w:tc>
      </w:tr>
      <w:tr w:rsidR="000E321E" w:rsidRPr="00333D41" w14:paraId="4EF39059" w14:textId="77777777" w:rsidTr="007D546D">
        <w:trPr>
          <w:jc w:val="center"/>
        </w:trPr>
        <w:tc>
          <w:tcPr>
            <w:tcW w:w="0" w:type="auto"/>
          </w:tcPr>
          <w:p w14:paraId="5C180E81"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INF-1-5</w:t>
            </w:r>
          </w:p>
        </w:tc>
        <w:tc>
          <w:tcPr>
            <w:tcW w:w="0" w:type="auto"/>
          </w:tcPr>
          <w:p w14:paraId="21F13F29" w14:textId="17F85023"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 xml:space="preserve">Cobertura </w:t>
            </w:r>
            <w:r w:rsidR="00EE299B" w:rsidRPr="00333D41">
              <w:rPr>
                <w:rFonts w:ascii="Times New Roman" w:hAnsi="Times New Roman" w:cs="Times New Roman"/>
              </w:rPr>
              <w:t>de alcantarillado</w:t>
            </w:r>
          </w:p>
        </w:tc>
        <w:tc>
          <w:tcPr>
            <w:tcW w:w="0" w:type="auto"/>
          </w:tcPr>
          <w:p w14:paraId="3F10C8A2"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-0.970</w:t>
            </w:r>
          </w:p>
        </w:tc>
        <w:tc>
          <w:tcPr>
            <w:tcW w:w="0" w:type="auto"/>
          </w:tcPr>
          <w:p w14:paraId="01EDC64C"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-2.556</w:t>
            </w:r>
          </w:p>
        </w:tc>
        <w:tc>
          <w:tcPr>
            <w:tcW w:w="0" w:type="auto"/>
          </w:tcPr>
          <w:p w14:paraId="19DD041D"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-1.867*</w:t>
            </w:r>
          </w:p>
        </w:tc>
      </w:tr>
      <w:tr w:rsidR="000E321E" w:rsidRPr="00333D41" w14:paraId="481276F8" w14:textId="77777777" w:rsidTr="007D546D">
        <w:trPr>
          <w:jc w:val="center"/>
        </w:trPr>
        <w:tc>
          <w:tcPr>
            <w:tcW w:w="0" w:type="auto"/>
          </w:tcPr>
          <w:p w14:paraId="70F57F92"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FIN-1-1</w:t>
            </w:r>
          </w:p>
        </w:tc>
        <w:tc>
          <w:tcPr>
            <w:tcW w:w="0" w:type="auto"/>
          </w:tcPr>
          <w:p w14:paraId="152BEAB2" w14:textId="6E723025"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 xml:space="preserve">Cartera </w:t>
            </w:r>
            <w:r w:rsidR="00EE299B" w:rsidRPr="00333D41">
              <w:rPr>
                <w:rFonts w:ascii="Times New Roman" w:hAnsi="Times New Roman" w:cs="Times New Roman"/>
              </w:rPr>
              <w:t>de crédito</w:t>
            </w:r>
            <w:r w:rsidRPr="00333D41">
              <w:rPr>
                <w:rFonts w:ascii="Times New Roman" w:hAnsi="Times New Roman" w:cs="Times New Roman"/>
              </w:rPr>
              <w:t>/PIB</w:t>
            </w:r>
          </w:p>
        </w:tc>
        <w:tc>
          <w:tcPr>
            <w:tcW w:w="0" w:type="auto"/>
          </w:tcPr>
          <w:p w14:paraId="50D75C72"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-0.507*</w:t>
            </w:r>
          </w:p>
        </w:tc>
        <w:tc>
          <w:tcPr>
            <w:tcW w:w="0" w:type="auto"/>
          </w:tcPr>
          <w:p w14:paraId="71025A93"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+0.311</w:t>
            </w:r>
          </w:p>
        </w:tc>
        <w:tc>
          <w:tcPr>
            <w:tcW w:w="0" w:type="auto"/>
          </w:tcPr>
          <w:p w14:paraId="0259BF74"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-0.454</w:t>
            </w:r>
          </w:p>
        </w:tc>
      </w:tr>
      <w:tr w:rsidR="000E321E" w:rsidRPr="00333D41" w14:paraId="28D0F290" w14:textId="77777777" w:rsidTr="007D546D">
        <w:trPr>
          <w:jc w:val="center"/>
        </w:trPr>
        <w:tc>
          <w:tcPr>
            <w:tcW w:w="0" w:type="auto"/>
          </w:tcPr>
          <w:p w14:paraId="076AD9EC" w14:textId="77777777" w:rsidR="000E321E" w:rsidRPr="00333D41" w:rsidRDefault="00000000" w:rsidP="00333D41">
            <w:pPr>
              <w:spacing w:line="480" w:lineRule="auto"/>
              <w:jc w:val="both"/>
              <w:rPr>
                <w:rFonts w:ascii="Times New Roman" w:hAnsi="Times New Roman" w:cs="Times New Roman"/>
              </w:rPr>
            </w:pPr>
            <w:proofErr w:type="spellStart"/>
            <w:r w:rsidRPr="00333D41">
              <w:rPr>
                <w:rFonts w:ascii="Times New Roman" w:hAnsi="Times New Roman" w:cs="Times New Roman"/>
              </w:rPr>
              <w:t>ln_Vic</w:t>
            </w:r>
            <w:proofErr w:type="spellEnd"/>
          </w:p>
        </w:tc>
        <w:tc>
          <w:tcPr>
            <w:tcW w:w="0" w:type="auto"/>
          </w:tcPr>
          <w:p w14:paraId="2936E457" w14:textId="77777777" w:rsidR="000E321E" w:rsidRPr="00333D41" w:rsidRDefault="00000000" w:rsidP="00333D41">
            <w:pPr>
              <w:spacing w:line="480" w:lineRule="auto"/>
              <w:jc w:val="both"/>
              <w:rPr>
                <w:rFonts w:ascii="Times New Roman" w:hAnsi="Times New Roman" w:cs="Times New Roman"/>
              </w:rPr>
            </w:pPr>
            <w:proofErr w:type="spellStart"/>
            <w:proofErr w:type="gramStart"/>
            <w:r w:rsidRPr="00333D41">
              <w:rPr>
                <w:rFonts w:ascii="Times New Roman" w:hAnsi="Times New Roman" w:cs="Times New Roman"/>
              </w:rPr>
              <w:t>Ln</w:t>
            </w:r>
            <w:proofErr w:type="spellEnd"/>
            <w:r w:rsidRPr="00333D41">
              <w:rPr>
                <w:rFonts w:ascii="Times New Roman" w:hAnsi="Times New Roman" w:cs="Times New Roman"/>
              </w:rPr>
              <w:t>(</w:t>
            </w:r>
            <w:proofErr w:type="gramEnd"/>
            <w:r w:rsidRPr="00333D41">
              <w:rPr>
                <w:rFonts w:ascii="Times New Roman" w:hAnsi="Times New Roman" w:cs="Times New Roman"/>
              </w:rPr>
              <w:t>Víctimas conflicto)</w:t>
            </w:r>
          </w:p>
        </w:tc>
        <w:tc>
          <w:tcPr>
            <w:tcW w:w="0" w:type="auto"/>
          </w:tcPr>
          <w:p w14:paraId="39E29A86"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+0.315</w:t>
            </w:r>
          </w:p>
        </w:tc>
        <w:tc>
          <w:tcPr>
            <w:tcW w:w="0" w:type="auto"/>
          </w:tcPr>
          <w:p w14:paraId="454ED401"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+3.710</w:t>
            </w:r>
          </w:p>
        </w:tc>
        <w:tc>
          <w:tcPr>
            <w:tcW w:w="0" w:type="auto"/>
          </w:tcPr>
          <w:p w14:paraId="7C281595"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+0.185</w:t>
            </w:r>
          </w:p>
        </w:tc>
      </w:tr>
      <w:tr w:rsidR="000E321E" w:rsidRPr="00333D41" w14:paraId="6E242DCA" w14:textId="77777777" w:rsidTr="007D546D">
        <w:trPr>
          <w:jc w:val="center"/>
        </w:trPr>
        <w:tc>
          <w:tcPr>
            <w:tcW w:w="0" w:type="auto"/>
          </w:tcPr>
          <w:p w14:paraId="72F6347C" w14:textId="77777777" w:rsidR="000E321E" w:rsidRPr="00333D41" w:rsidRDefault="000E321E" w:rsidP="00333D41">
            <w:pPr>
              <w:spacing w:line="480" w:lineRule="auto"/>
              <w:jc w:val="both"/>
              <w:rPr>
                <w:rFonts w:ascii="Times New Roman" w:hAnsi="Times New Roman" w:cs="Times New Roman"/>
              </w:rPr>
            </w:pPr>
          </w:p>
        </w:tc>
        <w:tc>
          <w:tcPr>
            <w:tcW w:w="0" w:type="auto"/>
          </w:tcPr>
          <w:p w14:paraId="6A485F66" w14:textId="77777777" w:rsidR="000E321E" w:rsidRPr="00333D41" w:rsidRDefault="000E321E" w:rsidP="00333D41">
            <w:pPr>
              <w:spacing w:line="480" w:lineRule="auto"/>
              <w:jc w:val="both"/>
              <w:rPr>
                <w:rFonts w:ascii="Times New Roman" w:hAnsi="Times New Roman" w:cs="Times New Roman"/>
              </w:rPr>
            </w:pPr>
          </w:p>
        </w:tc>
        <w:tc>
          <w:tcPr>
            <w:tcW w:w="0" w:type="auto"/>
          </w:tcPr>
          <w:p w14:paraId="7580AAB0" w14:textId="77777777" w:rsidR="000E321E" w:rsidRPr="00333D41" w:rsidRDefault="000E321E" w:rsidP="00333D41">
            <w:pPr>
              <w:spacing w:line="480" w:lineRule="auto"/>
              <w:jc w:val="both"/>
              <w:rPr>
                <w:rFonts w:ascii="Times New Roman" w:hAnsi="Times New Roman" w:cs="Times New Roman"/>
              </w:rPr>
            </w:pPr>
          </w:p>
        </w:tc>
        <w:tc>
          <w:tcPr>
            <w:tcW w:w="0" w:type="auto"/>
          </w:tcPr>
          <w:p w14:paraId="64210B96" w14:textId="77777777" w:rsidR="000E321E" w:rsidRPr="00333D41" w:rsidRDefault="000E321E" w:rsidP="00333D41">
            <w:pPr>
              <w:spacing w:line="480" w:lineRule="auto"/>
              <w:jc w:val="both"/>
              <w:rPr>
                <w:rFonts w:ascii="Times New Roman" w:hAnsi="Times New Roman" w:cs="Times New Roman"/>
              </w:rPr>
            </w:pPr>
          </w:p>
        </w:tc>
        <w:tc>
          <w:tcPr>
            <w:tcW w:w="0" w:type="auto"/>
          </w:tcPr>
          <w:p w14:paraId="62C657D3" w14:textId="77777777" w:rsidR="000E321E" w:rsidRPr="00333D41" w:rsidRDefault="000E321E" w:rsidP="00333D41">
            <w:pPr>
              <w:spacing w:line="480" w:lineRule="auto"/>
              <w:jc w:val="both"/>
              <w:rPr>
                <w:rFonts w:ascii="Times New Roman" w:hAnsi="Times New Roman" w:cs="Times New Roman"/>
              </w:rPr>
            </w:pPr>
          </w:p>
        </w:tc>
      </w:tr>
      <w:tr w:rsidR="000E321E" w:rsidRPr="00333D41" w14:paraId="1105ED57" w14:textId="77777777" w:rsidTr="007D546D">
        <w:trPr>
          <w:jc w:val="center"/>
        </w:trPr>
        <w:tc>
          <w:tcPr>
            <w:tcW w:w="0" w:type="auto"/>
          </w:tcPr>
          <w:p w14:paraId="7CFD8D0C"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b/>
                <w:bCs/>
              </w:rPr>
              <w:t>Intercepto</w:t>
            </w:r>
          </w:p>
        </w:tc>
        <w:tc>
          <w:tcPr>
            <w:tcW w:w="0" w:type="auto"/>
          </w:tcPr>
          <w:p w14:paraId="26191081" w14:textId="77777777" w:rsidR="000E321E" w:rsidRPr="00333D41" w:rsidRDefault="000E321E" w:rsidP="00333D41">
            <w:pPr>
              <w:spacing w:line="480" w:lineRule="auto"/>
              <w:jc w:val="both"/>
              <w:rPr>
                <w:rFonts w:ascii="Times New Roman" w:hAnsi="Times New Roman" w:cs="Times New Roman"/>
              </w:rPr>
            </w:pPr>
          </w:p>
        </w:tc>
        <w:tc>
          <w:tcPr>
            <w:tcW w:w="0" w:type="auto"/>
          </w:tcPr>
          <w:p w14:paraId="2A9AE42E"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79.22***</w:t>
            </w:r>
          </w:p>
        </w:tc>
        <w:tc>
          <w:tcPr>
            <w:tcW w:w="0" w:type="auto"/>
          </w:tcPr>
          <w:p w14:paraId="13307ED9"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w:t>
            </w:r>
          </w:p>
        </w:tc>
        <w:tc>
          <w:tcPr>
            <w:tcW w:w="0" w:type="auto"/>
          </w:tcPr>
          <w:p w14:paraId="467EFEE8"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37.50***</w:t>
            </w:r>
          </w:p>
        </w:tc>
      </w:tr>
      <w:tr w:rsidR="000E321E" w:rsidRPr="00333D41" w14:paraId="79D2D245" w14:textId="77777777" w:rsidTr="007D546D">
        <w:trPr>
          <w:jc w:val="center"/>
        </w:trPr>
        <w:tc>
          <w:tcPr>
            <w:tcW w:w="0" w:type="auto"/>
          </w:tcPr>
          <w:p w14:paraId="2B6EDB07"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b/>
                <w:bCs/>
              </w:rPr>
              <w:t>R²</w:t>
            </w:r>
          </w:p>
        </w:tc>
        <w:tc>
          <w:tcPr>
            <w:tcW w:w="0" w:type="auto"/>
          </w:tcPr>
          <w:p w14:paraId="56D56CC4" w14:textId="77777777" w:rsidR="000E321E" w:rsidRPr="00333D41" w:rsidRDefault="000E321E" w:rsidP="00333D41">
            <w:pPr>
              <w:spacing w:line="480" w:lineRule="auto"/>
              <w:jc w:val="both"/>
              <w:rPr>
                <w:rFonts w:ascii="Times New Roman" w:hAnsi="Times New Roman" w:cs="Times New Roman"/>
              </w:rPr>
            </w:pPr>
          </w:p>
        </w:tc>
        <w:tc>
          <w:tcPr>
            <w:tcW w:w="0" w:type="auto"/>
          </w:tcPr>
          <w:p w14:paraId="54BA7125"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0.966</w:t>
            </w:r>
          </w:p>
        </w:tc>
        <w:tc>
          <w:tcPr>
            <w:tcW w:w="0" w:type="auto"/>
          </w:tcPr>
          <w:p w14:paraId="0F937F65"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0.757</w:t>
            </w:r>
          </w:p>
        </w:tc>
        <w:tc>
          <w:tcPr>
            <w:tcW w:w="0" w:type="auto"/>
          </w:tcPr>
          <w:p w14:paraId="288B0F33"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0.895</w:t>
            </w:r>
          </w:p>
        </w:tc>
      </w:tr>
      <w:tr w:rsidR="000E321E" w:rsidRPr="00333D41" w14:paraId="435C51B2" w14:textId="77777777" w:rsidTr="007D546D">
        <w:trPr>
          <w:jc w:val="center"/>
        </w:trPr>
        <w:tc>
          <w:tcPr>
            <w:tcW w:w="0" w:type="auto"/>
          </w:tcPr>
          <w:p w14:paraId="27D98A7E"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b/>
                <w:bCs/>
              </w:rPr>
              <w:t>R² ajustado</w:t>
            </w:r>
          </w:p>
        </w:tc>
        <w:tc>
          <w:tcPr>
            <w:tcW w:w="0" w:type="auto"/>
          </w:tcPr>
          <w:p w14:paraId="5FA2CD20" w14:textId="77777777" w:rsidR="000E321E" w:rsidRPr="00333D41" w:rsidRDefault="000E321E" w:rsidP="00333D41">
            <w:pPr>
              <w:spacing w:line="480" w:lineRule="auto"/>
              <w:jc w:val="both"/>
              <w:rPr>
                <w:rFonts w:ascii="Times New Roman" w:hAnsi="Times New Roman" w:cs="Times New Roman"/>
              </w:rPr>
            </w:pPr>
          </w:p>
        </w:tc>
        <w:tc>
          <w:tcPr>
            <w:tcW w:w="0" w:type="auto"/>
          </w:tcPr>
          <w:p w14:paraId="03A43E2A"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0.952</w:t>
            </w:r>
          </w:p>
        </w:tc>
        <w:tc>
          <w:tcPr>
            <w:tcW w:w="0" w:type="auto"/>
          </w:tcPr>
          <w:p w14:paraId="4EF17632"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w:t>
            </w:r>
          </w:p>
        </w:tc>
        <w:tc>
          <w:tcPr>
            <w:tcW w:w="0" w:type="auto"/>
          </w:tcPr>
          <w:p w14:paraId="20504B0F"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w:t>
            </w:r>
          </w:p>
        </w:tc>
      </w:tr>
      <w:tr w:rsidR="000E321E" w:rsidRPr="00333D41" w14:paraId="4EE3B9E1" w14:textId="77777777" w:rsidTr="007D546D">
        <w:trPr>
          <w:jc w:val="center"/>
        </w:trPr>
        <w:tc>
          <w:tcPr>
            <w:tcW w:w="0" w:type="auto"/>
          </w:tcPr>
          <w:p w14:paraId="47B6EBEF"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b/>
                <w:bCs/>
              </w:rPr>
              <w:t>Observaciones</w:t>
            </w:r>
          </w:p>
        </w:tc>
        <w:tc>
          <w:tcPr>
            <w:tcW w:w="0" w:type="auto"/>
          </w:tcPr>
          <w:p w14:paraId="4F861A99" w14:textId="77777777" w:rsidR="000E321E" w:rsidRPr="00333D41" w:rsidRDefault="000E321E" w:rsidP="00333D41">
            <w:pPr>
              <w:spacing w:line="480" w:lineRule="auto"/>
              <w:jc w:val="both"/>
              <w:rPr>
                <w:rFonts w:ascii="Times New Roman" w:hAnsi="Times New Roman" w:cs="Times New Roman"/>
              </w:rPr>
            </w:pPr>
          </w:p>
        </w:tc>
        <w:tc>
          <w:tcPr>
            <w:tcW w:w="0" w:type="auto"/>
          </w:tcPr>
          <w:p w14:paraId="66B73333"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99</w:t>
            </w:r>
          </w:p>
        </w:tc>
        <w:tc>
          <w:tcPr>
            <w:tcW w:w="0" w:type="auto"/>
          </w:tcPr>
          <w:p w14:paraId="1D3420A5"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99</w:t>
            </w:r>
          </w:p>
        </w:tc>
        <w:tc>
          <w:tcPr>
            <w:tcW w:w="0" w:type="auto"/>
          </w:tcPr>
          <w:p w14:paraId="73D509BE"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99</w:t>
            </w:r>
          </w:p>
        </w:tc>
      </w:tr>
      <w:tr w:rsidR="000E321E" w:rsidRPr="00333D41" w14:paraId="4ABDBF9F" w14:textId="77777777" w:rsidTr="007D546D">
        <w:trPr>
          <w:jc w:val="center"/>
        </w:trPr>
        <w:tc>
          <w:tcPr>
            <w:tcW w:w="0" w:type="auto"/>
          </w:tcPr>
          <w:p w14:paraId="115ED052"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b/>
                <w:bCs/>
              </w:rPr>
              <w:t>Departamentos</w:t>
            </w:r>
          </w:p>
        </w:tc>
        <w:tc>
          <w:tcPr>
            <w:tcW w:w="0" w:type="auto"/>
          </w:tcPr>
          <w:p w14:paraId="7D6A9C9F" w14:textId="77777777" w:rsidR="000E321E" w:rsidRPr="00333D41" w:rsidRDefault="000E321E" w:rsidP="00333D41">
            <w:pPr>
              <w:spacing w:line="480" w:lineRule="auto"/>
              <w:jc w:val="both"/>
              <w:rPr>
                <w:rFonts w:ascii="Times New Roman" w:hAnsi="Times New Roman" w:cs="Times New Roman"/>
              </w:rPr>
            </w:pPr>
          </w:p>
        </w:tc>
        <w:tc>
          <w:tcPr>
            <w:tcW w:w="0" w:type="auto"/>
          </w:tcPr>
          <w:p w14:paraId="7E0780DC"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33</w:t>
            </w:r>
          </w:p>
        </w:tc>
        <w:tc>
          <w:tcPr>
            <w:tcW w:w="0" w:type="auto"/>
          </w:tcPr>
          <w:p w14:paraId="00E776EE"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33</w:t>
            </w:r>
          </w:p>
        </w:tc>
        <w:tc>
          <w:tcPr>
            <w:tcW w:w="0" w:type="auto"/>
          </w:tcPr>
          <w:p w14:paraId="4ACA3771" w14:textId="77777777" w:rsidR="000E321E" w:rsidRPr="00333D41" w:rsidRDefault="00000000" w:rsidP="00333D41">
            <w:pPr>
              <w:spacing w:line="480" w:lineRule="auto"/>
              <w:jc w:val="both"/>
              <w:rPr>
                <w:rFonts w:ascii="Times New Roman" w:hAnsi="Times New Roman" w:cs="Times New Roman"/>
              </w:rPr>
            </w:pPr>
            <w:r w:rsidRPr="00333D41">
              <w:rPr>
                <w:rFonts w:ascii="Times New Roman" w:hAnsi="Times New Roman" w:cs="Times New Roman"/>
              </w:rPr>
              <w:t>33</w:t>
            </w:r>
          </w:p>
        </w:tc>
      </w:tr>
      <w:tr w:rsidR="000E321E" w:rsidRPr="00333D41" w14:paraId="7DC3ED98" w14:textId="77777777" w:rsidTr="007D546D">
        <w:trPr>
          <w:jc w:val="center"/>
        </w:trPr>
        <w:tc>
          <w:tcPr>
            <w:tcW w:w="0" w:type="auto"/>
          </w:tcPr>
          <w:p w14:paraId="6C6D0655" w14:textId="77777777" w:rsidR="000E321E" w:rsidRPr="00333D41" w:rsidRDefault="000E321E" w:rsidP="00333D41">
            <w:pPr>
              <w:spacing w:line="480" w:lineRule="auto"/>
              <w:jc w:val="both"/>
              <w:rPr>
                <w:rFonts w:ascii="Times New Roman" w:hAnsi="Times New Roman" w:cs="Times New Roman"/>
              </w:rPr>
            </w:pPr>
          </w:p>
        </w:tc>
        <w:tc>
          <w:tcPr>
            <w:tcW w:w="0" w:type="auto"/>
          </w:tcPr>
          <w:p w14:paraId="2D98E756" w14:textId="77777777" w:rsidR="000E321E" w:rsidRPr="00333D41" w:rsidRDefault="000E321E" w:rsidP="00333D41">
            <w:pPr>
              <w:spacing w:line="480" w:lineRule="auto"/>
              <w:jc w:val="both"/>
              <w:rPr>
                <w:rFonts w:ascii="Times New Roman" w:hAnsi="Times New Roman" w:cs="Times New Roman"/>
              </w:rPr>
            </w:pPr>
          </w:p>
        </w:tc>
        <w:tc>
          <w:tcPr>
            <w:tcW w:w="0" w:type="auto"/>
          </w:tcPr>
          <w:p w14:paraId="5DEF9CD7" w14:textId="77777777" w:rsidR="000E321E" w:rsidRPr="00333D41" w:rsidRDefault="000E321E" w:rsidP="00333D41">
            <w:pPr>
              <w:spacing w:line="480" w:lineRule="auto"/>
              <w:jc w:val="both"/>
              <w:rPr>
                <w:rFonts w:ascii="Times New Roman" w:hAnsi="Times New Roman" w:cs="Times New Roman"/>
              </w:rPr>
            </w:pPr>
          </w:p>
        </w:tc>
        <w:tc>
          <w:tcPr>
            <w:tcW w:w="0" w:type="auto"/>
          </w:tcPr>
          <w:p w14:paraId="4C60D2B3" w14:textId="77777777" w:rsidR="000E321E" w:rsidRPr="00333D41" w:rsidRDefault="000E321E" w:rsidP="00333D41">
            <w:pPr>
              <w:spacing w:line="480" w:lineRule="auto"/>
              <w:jc w:val="both"/>
              <w:rPr>
                <w:rFonts w:ascii="Times New Roman" w:hAnsi="Times New Roman" w:cs="Times New Roman"/>
              </w:rPr>
            </w:pPr>
          </w:p>
        </w:tc>
        <w:tc>
          <w:tcPr>
            <w:tcW w:w="0" w:type="auto"/>
          </w:tcPr>
          <w:p w14:paraId="397FFAC3" w14:textId="77777777" w:rsidR="000E321E" w:rsidRPr="00333D41" w:rsidRDefault="000E321E" w:rsidP="00333D41">
            <w:pPr>
              <w:spacing w:line="480" w:lineRule="auto"/>
              <w:jc w:val="both"/>
              <w:rPr>
                <w:rFonts w:ascii="Times New Roman" w:hAnsi="Times New Roman" w:cs="Times New Roman"/>
              </w:rPr>
            </w:pPr>
          </w:p>
        </w:tc>
      </w:tr>
    </w:tbl>
    <w:p w14:paraId="607EC97E" w14:textId="0883C56E" w:rsidR="000E321E" w:rsidRPr="00333D41" w:rsidRDefault="00000000" w:rsidP="00333D41">
      <w:pPr>
        <w:spacing w:before="80" w:after="200" w:line="480" w:lineRule="auto"/>
        <w:jc w:val="both"/>
        <w:rPr>
          <w:rFonts w:ascii="Times New Roman" w:hAnsi="Times New Roman" w:cs="Times New Roman"/>
        </w:rPr>
      </w:pPr>
      <w:r w:rsidRPr="00333D41">
        <w:rPr>
          <w:rFonts w:ascii="Times New Roman" w:hAnsi="Times New Roman" w:cs="Times New Roman"/>
          <w:i/>
          <w:iCs/>
        </w:rPr>
        <w:t xml:space="preserve">Nota. *** p &lt; 0,01; ** p &lt; 0,05; * p &lt; 0,10. </w:t>
      </w:r>
      <w:r w:rsidRPr="00333D41">
        <w:rPr>
          <w:rFonts w:ascii="Segoe UI Symbol" w:hAnsi="Segoe UI Symbol" w:cs="Segoe UI Symbol"/>
          <w:i/>
          <w:iCs/>
        </w:rPr>
        <w:t>★</w:t>
      </w:r>
      <w:r w:rsidRPr="00333D41">
        <w:rPr>
          <w:rFonts w:ascii="Times New Roman" w:hAnsi="Times New Roman" w:cs="Times New Roman"/>
          <w:i/>
          <w:iCs/>
        </w:rPr>
        <w:t xml:space="preserve"> Modelo interpretado como referencia principal. (inv.) indica que la variable </w:t>
      </w:r>
      <w:r w:rsidR="00EE299B" w:rsidRPr="00333D41">
        <w:rPr>
          <w:rFonts w:ascii="Times New Roman" w:hAnsi="Times New Roman" w:cs="Times New Roman"/>
          <w:i/>
          <w:iCs/>
        </w:rPr>
        <w:t>se invirtió</w:t>
      </w:r>
      <w:r w:rsidRPr="00333D41">
        <w:rPr>
          <w:rFonts w:ascii="Times New Roman" w:hAnsi="Times New Roman" w:cs="Times New Roman"/>
          <w:i/>
          <w:iCs/>
        </w:rPr>
        <w:t xml:space="preserve"> en el IDC: valores más altos reflejan mejor desempeño. Se presentan las 13 variables con mayor magnitud relativa. Fuente: </w:t>
      </w:r>
      <w:r w:rsidR="00EE299B" w:rsidRPr="00333D41">
        <w:rPr>
          <w:rFonts w:ascii="Times New Roman" w:hAnsi="Times New Roman" w:cs="Times New Roman"/>
          <w:i/>
          <w:iCs/>
        </w:rPr>
        <w:t>Elaboración</w:t>
      </w:r>
      <w:r w:rsidRPr="00333D41">
        <w:rPr>
          <w:rFonts w:ascii="Times New Roman" w:hAnsi="Times New Roman" w:cs="Times New Roman"/>
          <w:i/>
          <w:iCs/>
        </w:rPr>
        <w:t xml:space="preserve"> propia con datos del DANE (2023), Unidad para las Víctimas (2025) y CPC (2025).</w:t>
      </w:r>
    </w:p>
    <w:p w14:paraId="7B04C88D" w14:textId="28EE5969" w:rsidR="000E321E" w:rsidRPr="00333D41" w:rsidRDefault="00EE299B" w:rsidP="005A11AC">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El modelo tiene un alto poder explicativo general (R² = 0,966 en </w:t>
      </w:r>
      <w:proofErr w:type="spellStart"/>
      <w:r w:rsidRPr="00333D41">
        <w:rPr>
          <w:rFonts w:ascii="Times New Roman" w:hAnsi="Times New Roman" w:cs="Times New Roman"/>
        </w:rPr>
        <w:t>Pooled</w:t>
      </w:r>
      <w:proofErr w:type="spellEnd"/>
      <w:r w:rsidRPr="00333D41">
        <w:rPr>
          <w:rFonts w:ascii="Times New Roman" w:hAnsi="Times New Roman" w:cs="Times New Roman"/>
        </w:rPr>
        <w:t xml:space="preserve"> OLS; R² = 0,895 en EA), lo que muestra que las condiciones estructurales del IDC son una gran parte de las diferencias </w:t>
      </w:r>
      <w:r w:rsidRPr="00333D41">
        <w:rPr>
          <w:rFonts w:ascii="Times New Roman" w:hAnsi="Times New Roman" w:cs="Times New Roman"/>
        </w:rPr>
        <w:lastRenderedPageBreak/>
        <w:t xml:space="preserve">entre departamentos en pobreza </w:t>
      </w:r>
      <w:r w:rsidR="001E0840" w:rsidRPr="00333D41">
        <w:rPr>
          <w:rFonts w:ascii="Times New Roman" w:hAnsi="Times New Roman" w:cs="Times New Roman"/>
        </w:rPr>
        <w:t>multidimensional. Cuatro</w:t>
      </w:r>
      <w:r w:rsidRPr="00333D41">
        <w:rPr>
          <w:rFonts w:ascii="Times New Roman" w:hAnsi="Times New Roman" w:cs="Times New Roman"/>
        </w:rPr>
        <w:t xml:space="preserve"> grupos de variables son especialmente relevantes.</w:t>
      </w:r>
    </w:p>
    <w:p w14:paraId="1D4C3E47" w14:textId="77777777" w:rsidR="005A11AC" w:rsidRDefault="00000000" w:rsidP="005A11AC">
      <w:pPr>
        <w:pStyle w:val="Ttulo3"/>
        <w:spacing w:line="360" w:lineRule="auto"/>
      </w:pPr>
      <w:r w:rsidRPr="00333D41">
        <w:t xml:space="preserve">Salud e infraestructura. </w:t>
      </w:r>
    </w:p>
    <w:p w14:paraId="018ECB01" w14:textId="189B525B" w:rsidR="000E321E" w:rsidRPr="00333D41" w:rsidRDefault="00000000" w:rsidP="005A11AC">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La afiliación al régimen subsidiado (SAL-2-3) es el regresor más </w:t>
      </w:r>
      <w:r w:rsidR="00EE299B" w:rsidRPr="00333D41">
        <w:rPr>
          <w:rFonts w:ascii="Times New Roman" w:hAnsi="Times New Roman" w:cs="Times New Roman"/>
        </w:rPr>
        <w:t xml:space="preserve">fuerte: negativo </w:t>
      </w:r>
      <w:proofErr w:type="spellStart"/>
      <w:r w:rsidR="00EE299B" w:rsidRPr="00333D41">
        <w:rPr>
          <w:rFonts w:ascii="Times New Roman" w:hAnsi="Times New Roman" w:cs="Times New Roman"/>
        </w:rPr>
        <w:t>y</w:t>
      </w:r>
      <w:proofErr w:type="spellEnd"/>
      <w:r w:rsidR="00EE299B" w:rsidRPr="00333D41">
        <w:rPr>
          <w:rFonts w:ascii="Times New Roman" w:hAnsi="Times New Roman" w:cs="Times New Roman"/>
        </w:rPr>
        <w:t xml:space="preserve"> importante en los tres modelos (EA: β = −1,474; p = 0,039).</w:t>
      </w:r>
      <w:r w:rsidR="005A11AC">
        <w:rPr>
          <w:rFonts w:ascii="Times New Roman" w:hAnsi="Times New Roman" w:cs="Times New Roman"/>
        </w:rPr>
        <w:t xml:space="preserve"> </w:t>
      </w:r>
      <w:r w:rsidRPr="00333D41">
        <w:rPr>
          <w:rFonts w:ascii="Times New Roman" w:hAnsi="Times New Roman" w:cs="Times New Roman"/>
        </w:rPr>
        <w:t xml:space="preserve">Una mayor cobertura del régimen subsidiado reduce sustancialmente el IPM. La cobertura de energía eléctrica (INF-1-3) también reduce el IPM en el </w:t>
      </w:r>
      <w:proofErr w:type="spellStart"/>
      <w:r w:rsidRPr="00333D41">
        <w:rPr>
          <w:rFonts w:ascii="Times New Roman" w:hAnsi="Times New Roman" w:cs="Times New Roman"/>
        </w:rPr>
        <w:t>Pooled</w:t>
      </w:r>
      <w:proofErr w:type="spellEnd"/>
      <w:r w:rsidRPr="00333D41">
        <w:rPr>
          <w:rFonts w:ascii="Times New Roman" w:hAnsi="Times New Roman" w:cs="Times New Roman"/>
        </w:rPr>
        <w:t xml:space="preserve"> OLS (β = −1,700; p = 0,001) y en el EA (β = −2,067; p = 0,007). Estos resultados son coherentes con el segundo objetivo específico: el deterioro del acceso a servicios básicos —canal de transmisión del conflicto— se refleja directamente en el IPM.</w:t>
      </w:r>
    </w:p>
    <w:p w14:paraId="59A51A43" w14:textId="77777777" w:rsidR="005A11AC" w:rsidRDefault="00000000" w:rsidP="005A11AC">
      <w:pPr>
        <w:pStyle w:val="Ttulo3"/>
        <w:spacing w:line="360" w:lineRule="auto"/>
      </w:pPr>
      <w:r w:rsidRPr="00333D41">
        <w:t xml:space="preserve">Seguridad y violencia. </w:t>
      </w:r>
    </w:p>
    <w:p w14:paraId="5E0E898D" w14:textId="0DDC5B3E" w:rsidR="000E321E" w:rsidRPr="00333D41" w:rsidRDefault="00EE299B" w:rsidP="005A11AC">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La tasa de homicidios (INS-4-1) muestra una relación positiva y significativa en el </w:t>
      </w:r>
      <w:proofErr w:type="spellStart"/>
      <w:r w:rsidRPr="00333D41">
        <w:rPr>
          <w:rFonts w:ascii="Times New Roman" w:hAnsi="Times New Roman" w:cs="Times New Roman"/>
        </w:rPr>
        <w:t>Pooled</w:t>
      </w:r>
      <w:proofErr w:type="spellEnd"/>
      <w:r w:rsidRPr="00333D41">
        <w:rPr>
          <w:rFonts w:ascii="Times New Roman" w:hAnsi="Times New Roman" w:cs="Times New Roman"/>
        </w:rPr>
        <w:t xml:space="preserve"> OLS (β = +0,905; p &lt; 0,001) y en el EA (β = +0,671; p = 0,033): los departamentos con más violencia homicida tienen más pobreza </w:t>
      </w:r>
      <w:r w:rsidR="001E0840" w:rsidRPr="00333D41">
        <w:rPr>
          <w:rFonts w:ascii="Times New Roman" w:hAnsi="Times New Roman" w:cs="Times New Roman"/>
        </w:rPr>
        <w:t>multidimensional. Este</w:t>
      </w:r>
      <w:r w:rsidRPr="00333D41">
        <w:rPr>
          <w:rFonts w:ascii="Times New Roman" w:hAnsi="Times New Roman" w:cs="Times New Roman"/>
        </w:rPr>
        <w:t xml:space="preserve"> canal directo del conflicto sobre el IPM es consistente con la trampa de conflicto de Collier y Hoeffler (2004) y con los hallazgos de Eid et al. (2024).</w:t>
      </w:r>
    </w:p>
    <w:p w14:paraId="0733621C" w14:textId="77777777" w:rsidR="005A11AC" w:rsidRDefault="00000000" w:rsidP="005A11AC">
      <w:pPr>
        <w:pStyle w:val="Ttulo3"/>
        <w:spacing w:line="360" w:lineRule="auto"/>
      </w:pPr>
      <w:r w:rsidRPr="00333D41">
        <w:t xml:space="preserve">Mercado laboral. </w:t>
      </w:r>
    </w:p>
    <w:p w14:paraId="6EBFDC29" w14:textId="19B31B84" w:rsidR="000E321E" w:rsidRPr="00333D41" w:rsidRDefault="00EE299B" w:rsidP="005A11AC">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La tasa de desempleo (LAB-1-3) y la informalidad (LAB-1-2) tienen efectos negativos y notables en el </w:t>
      </w:r>
      <w:proofErr w:type="spellStart"/>
      <w:r w:rsidRPr="00333D41">
        <w:rPr>
          <w:rFonts w:ascii="Times New Roman" w:hAnsi="Times New Roman" w:cs="Times New Roman"/>
        </w:rPr>
        <w:t>Pooled</w:t>
      </w:r>
      <w:proofErr w:type="spellEnd"/>
      <w:r w:rsidRPr="00333D41">
        <w:rPr>
          <w:rFonts w:ascii="Times New Roman" w:hAnsi="Times New Roman" w:cs="Times New Roman"/>
        </w:rPr>
        <w:t xml:space="preserve"> OLS, lo que confirma que mejores condiciones de trabajo disminuyen la pobreza </w:t>
      </w:r>
      <w:r w:rsidR="001E0840" w:rsidRPr="00333D41">
        <w:rPr>
          <w:rFonts w:ascii="Times New Roman" w:hAnsi="Times New Roman" w:cs="Times New Roman"/>
        </w:rPr>
        <w:t>multidimensional. Esto</w:t>
      </w:r>
      <w:r w:rsidRPr="00333D41">
        <w:rPr>
          <w:rFonts w:ascii="Times New Roman" w:hAnsi="Times New Roman" w:cs="Times New Roman"/>
        </w:rPr>
        <w:t xml:space="preserve"> es coherente con los datos de Suárez et al. (2019), que documentan tasas de desempleo del 39% entre víctimas del conflicto.</w:t>
      </w:r>
    </w:p>
    <w:p w14:paraId="62019B0B" w14:textId="77777777" w:rsidR="005A11AC" w:rsidRDefault="00000000" w:rsidP="005A11AC">
      <w:pPr>
        <w:pStyle w:val="Ttulo3"/>
        <w:spacing w:line="360" w:lineRule="auto"/>
      </w:pPr>
      <w:r w:rsidRPr="00333D41">
        <w:t xml:space="preserve">Educación. </w:t>
      </w:r>
    </w:p>
    <w:p w14:paraId="516DF273" w14:textId="11401210" w:rsidR="000E321E" w:rsidRPr="00333D41" w:rsidRDefault="00000000" w:rsidP="005A11AC">
      <w:pPr>
        <w:spacing w:after="180" w:line="480" w:lineRule="auto"/>
        <w:ind w:firstLine="708"/>
        <w:jc w:val="both"/>
        <w:rPr>
          <w:rFonts w:ascii="Times New Roman" w:hAnsi="Times New Roman" w:cs="Times New Roman"/>
        </w:rPr>
      </w:pPr>
      <w:r w:rsidRPr="00333D41">
        <w:rPr>
          <w:rFonts w:ascii="Times New Roman" w:hAnsi="Times New Roman" w:cs="Times New Roman"/>
        </w:rPr>
        <w:lastRenderedPageBreak/>
        <w:t xml:space="preserve">Las Pruebas Saber 11 (EDU-2-4) presentan efectos negativos significativos en el </w:t>
      </w:r>
      <w:proofErr w:type="spellStart"/>
      <w:r w:rsidRPr="00333D41">
        <w:rPr>
          <w:rFonts w:ascii="Times New Roman" w:hAnsi="Times New Roman" w:cs="Times New Roman"/>
        </w:rPr>
        <w:t>Pooled</w:t>
      </w:r>
      <w:proofErr w:type="spellEnd"/>
      <w:r w:rsidRPr="00333D41">
        <w:rPr>
          <w:rFonts w:ascii="Times New Roman" w:hAnsi="Times New Roman" w:cs="Times New Roman"/>
        </w:rPr>
        <w:t xml:space="preserve"> OLS (β = −0,988; p = 0,017) y en el EA (β = −1,250; p = 0,038). La calidad educativa reduce la pobreza multidimensional, en consonancia con el enfoque de capacidades de Sen (1999), para quien la educación es tanto componente del bienestar como medio para expandir las libertades.</w:t>
      </w:r>
    </w:p>
    <w:p w14:paraId="01FB12CD" w14:textId="349D8CF9" w:rsidR="000E321E" w:rsidRPr="005A11AC" w:rsidRDefault="00000000" w:rsidP="005A11AC">
      <w:pPr>
        <w:pStyle w:val="Ttulo2"/>
        <w:spacing w:line="360" w:lineRule="auto"/>
      </w:pPr>
      <w:r w:rsidRPr="005A11AC">
        <w:t>Discusión general</w:t>
      </w:r>
    </w:p>
    <w:p w14:paraId="180D00F7" w14:textId="068BFB24" w:rsidR="000E321E" w:rsidRPr="00333D41" w:rsidRDefault="00000000" w:rsidP="005A11AC">
      <w:pPr>
        <w:spacing w:after="180" w:line="480" w:lineRule="auto"/>
        <w:ind w:firstLine="708"/>
        <w:jc w:val="both"/>
        <w:rPr>
          <w:rFonts w:ascii="Times New Roman" w:hAnsi="Times New Roman" w:cs="Times New Roman"/>
        </w:rPr>
      </w:pPr>
      <w:r w:rsidRPr="00333D41">
        <w:rPr>
          <w:rFonts w:ascii="Times New Roman" w:hAnsi="Times New Roman" w:cs="Times New Roman"/>
        </w:rPr>
        <w:t xml:space="preserve">Los resultados ofrecen tres conclusiones de fondo vinculadas a los objetivos del estudio. </w:t>
      </w:r>
      <w:r w:rsidR="00EE299B" w:rsidRPr="00333D41">
        <w:rPr>
          <w:rFonts w:ascii="Times New Roman" w:hAnsi="Times New Roman" w:cs="Times New Roman"/>
        </w:rPr>
        <w:t>Primero, las diferencias en pobreza multidimensional entre departamentos —objetivo específico 3— se deben principalmente a condiciones estructurales que el conflicto ha empeorado a lo largo del tiempo: acceso a salud, disponibilidad de servicios, calidad de la educación y mercado laboral.</w:t>
      </w:r>
      <w:r w:rsidR="001E0840" w:rsidRPr="00333D41">
        <w:rPr>
          <w:rFonts w:ascii="Times New Roman" w:hAnsi="Times New Roman" w:cs="Times New Roman"/>
        </w:rPr>
        <w:t xml:space="preserve"> </w:t>
      </w:r>
      <w:r w:rsidR="00EE299B" w:rsidRPr="00333D41">
        <w:rPr>
          <w:rFonts w:ascii="Times New Roman" w:hAnsi="Times New Roman" w:cs="Times New Roman"/>
        </w:rPr>
        <w:t>En segundo lugar, el impacto directo actual del número de víctimas no puede medirse con solo tres años de datos. Sin embargo, la tasa de homicidios, que es un resultado directo del conflicto, sí se muestra como un buen indicador. Esto apoya la hipótesis del artículo a través de un mecanismo intermedio.</w:t>
      </w:r>
      <w:r w:rsidR="001E0840" w:rsidRPr="00333D41">
        <w:rPr>
          <w:rFonts w:ascii="Times New Roman" w:hAnsi="Times New Roman" w:cs="Times New Roman"/>
        </w:rPr>
        <w:t xml:space="preserve"> </w:t>
      </w:r>
      <w:r w:rsidR="00EE299B" w:rsidRPr="00333D41">
        <w:rPr>
          <w:rFonts w:ascii="Times New Roman" w:hAnsi="Times New Roman" w:cs="Times New Roman"/>
        </w:rPr>
        <w:t>Tercero, las variables socioeconómicas estudiadas tienen un impacto negativo en el IPM y ayudan a disminuirlo —objetivo específico 1 y 2—, lo cual concuerda con el marco teórico.</w:t>
      </w:r>
    </w:p>
    <w:p w14:paraId="266FDFED" w14:textId="393856B1" w:rsidR="005A11AC" w:rsidRDefault="00000000" w:rsidP="00333D41">
      <w:pPr>
        <w:spacing w:after="180" w:line="480" w:lineRule="auto"/>
        <w:jc w:val="both"/>
        <w:rPr>
          <w:rFonts w:ascii="Times New Roman" w:hAnsi="Times New Roman" w:cs="Times New Roman"/>
        </w:rPr>
      </w:pPr>
      <w:r w:rsidRPr="00333D41">
        <w:rPr>
          <w:rFonts w:ascii="Times New Roman" w:hAnsi="Times New Roman" w:cs="Times New Roman"/>
        </w:rPr>
        <w:t xml:space="preserve">Desde la perspectiva del segundo objetivo específico, el desplazamiento forzado no aparece directamente en la estimación —por limitaciones de datos—, pero sus efectos están implícitos en los indicadores de salud, educación y mercado laboral que capturan las privaciones que la literatura asocia con la población desplazada (Admasu et al., 2021; Muñetón Santa et al., </w:t>
      </w:r>
      <w:r w:rsidR="007A1CEF">
        <w:rPr>
          <w:rFonts w:ascii="Times New Roman" w:hAnsi="Times New Roman" w:cs="Times New Roman"/>
        </w:rPr>
        <w:t>2018</w:t>
      </w:r>
      <w:r w:rsidRPr="00333D41">
        <w:rPr>
          <w:rFonts w:ascii="Times New Roman" w:hAnsi="Times New Roman" w:cs="Times New Roman"/>
        </w:rPr>
        <w:t xml:space="preserve">). </w:t>
      </w:r>
      <w:r w:rsidR="00865272" w:rsidRPr="00865272">
        <w:rPr>
          <w:rFonts w:ascii="Times New Roman" w:hAnsi="Times New Roman" w:cs="Times New Roman"/>
        </w:rPr>
        <w:t>El modelo econométrico confirma que el conflicto armado incide sobre la pobreza multidimensional no de forma directa, sino a través de variables socioeconómicas estructurales que actúan como canales intermedios.</w:t>
      </w:r>
    </w:p>
    <w:p w14:paraId="2D86B03B" w14:textId="77777777" w:rsidR="00865272" w:rsidRDefault="00865272" w:rsidP="00333D41">
      <w:pPr>
        <w:spacing w:after="180" w:line="480" w:lineRule="auto"/>
        <w:jc w:val="both"/>
        <w:rPr>
          <w:rFonts w:ascii="Times New Roman" w:hAnsi="Times New Roman" w:cs="Times New Roman"/>
        </w:rPr>
      </w:pPr>
    </w:p>
    <w:p w14:paraId="5595D4D2" w14:textId="77777777" w:rsidR="0094158B" w:rsidRPr="00333D41" w:rsidRDefault="0094158B" w:rsidP="00333D41">
      <w:pPr>
        <w:spacing w:after="180" w:line="480" w:lineRule="auto"/>
        <w:jc w:val="both"/>
        <w:rPr>
          <w:rFonts w:ascii="Times New Roman" w:hAnsi="Times New Roman" w:cs="Times New Roman"/>
        </w:rPr>
      </w:pPr>
    </w:p>
    <w:p w14:paraId="72216772" w14:textId="16410B4E" w:rsidR="000E321E" w:rsidRPr="005A11AC" w:rsidRDefault="00000000" w:rsidP="005A11AC">
      <w:pPr>
        <w:pStyle w:val="Ttulo1"/>
        <w:spacing w:line="360" w:lineRule="auto"/>
      </w:pPr>
      <w:r w:rsidRPr="005A11AC">
        <w:t>Conclusiones</w:t>
      </w:r>
    </w:p>
    <w:p w14:paraId="408D2A2E" w14:textId="77777777" w:rsidR="00865272" w:rsidRDefault="00865272" w:rsidP="008E5C04">
      <w:pPr>
        <w:spacing w:after="240" w:line="480" w:lineRule="auto"/>
        <w:ind w:firstLine="709"/>
        <w:rPr>
          <w:rFonts w:ascii="Times New Roman" w:hAnsi="Times New Roman" w:cs="Times New Roman"/>
        </w:rPr>
      </w:pPr>
      <w:r w:rsidRPr="00865272">
        <w:rPr>
          <w:rFonts w:ascii="Times New Roman" w:hAnsi="Times New Roman" w:cs="Times New Roman"/>
        </w:rPr>
        <w:t>Los resultados no permiten concluir que más víctimas del conflicto equivalen automáticamente a más pobreza multidimensional en el corto plazo — esa relación existe, el coeficiente es positivo en los tres modelos, pero no alcanza significancia estadística con tres años de panel. Lo que sí queda claro es por dónde llega el conflicto al bienestar: la tasa de homicidios, la cobertura de salud subsidiada, el acceso a electricidad, la calidad educativa y las condiciones del mercado laboral son los canales que el modelo identifica como estadísticamente robustos y, lo más importante, como puntos donde una política pública puede intervenir.</w:t>
      </w:r>
    </w:p>
    <w:p w14:paraId="6FA3C4C4" w14:textId="2067935D" w:rsidR="008E5C04" w:rsidRPr="008E5C04" w:rsidRDefault="008E5C04" w:rsidP="008E5C04">
      <w:pPr>
        <w:spacing w:after="240" w:line="480" w:lineRule="auto"/>
        <w:ind w:firstLine="709"/>
        <w:rPr>
          <w:rFonts w:ascii="Times New Roman" w:hAnsi="Times New Roman" w:cs="Times New Roman"/>
        </w:rPr>
      </w:pPr>
      <w:r w:rsidRPr="008E5C04">
        <w:rPr>
          <w:rFonts w:ascii="Times New Roman" w:hAnsi="Times New Roman" w:cs="Times New Roman"/>
        </w:rPr>
        <w:t>Este resultado tiene una implicación directa para la política pública: el Estado colombiano no puede reducir la pobreza multidimensional en los territorios más afectados por el conflicto interviniendo únicamente sobre la violencia o la atención humanitaria de emergencia. Los 20,7 billones de pesos anuales destinados a la política de víctimas (MHCP y DNP, 2024) producirán impactos duraderos sobre el IPM solo si una parte significativa se redirige hacia el fortalecimiento simultáneo de los pilares estructurales que el IDC mide: cobertura del régimen subsidiado de salud, infraestructura de servicios públicos, calidad de la educación secundaria y formalización laboral. Intervenir en uno solo de estos pilares sin atender los demás es insuficiente, dado que el IPM castiga la privación simultánea en múltiples dimensiones.</w:t>
      </w:r>
    </w:p>
    <w:p w14:paraId="78C07B20" w14:textId="77777777" w:rsidR="008E5C04" w:rsidRPr="008E5C04" w:rsidRDefault="008E5C04" w:rsidP="008E5C04">
      <w:pPr>
        <w:spacing w:after="240" w:line="480" w:lineRule="auto"/>
        <w:ind w:firstLine="709"/>
        <w:rPr>
          <w:rFonts w:ascii="Times New Roman" w:hAnsi="Times New Roman" w:cs="Times New Roman"/>
        </w:rPr>
      </w:pPr>
      <w:r w:rsidRPr="008E5C04">
        <w:rPr>
          <w:rFonts w:ascii="Times New Roman" w:hAnsi="Times New Roman" w:cs="Times New Roman"/>
        </w:rPr>
        <w:t xml:space="preserve">Las desigualdades territoriales documentadas —una brecha superior a 68 puntos porcentuales entre Bogotá y los departamentos más pobres— no se cerrarán con políticas uniformes a nivel nacional. Departamentos como Chocó, Vaupés, Guainía, Nariño y Cauca requieren intervenciones diferenciadas que reconozcan la acumulación histórica de privaciones en </w:t>
      </w:r>
      <w:r w:rsidRPr="008E5C04">
        <w:rPr>
          <w:rFonts w:ascii="Times New Roman" w:hAnsi="Times New Roman" w:cs="Times New Roman"/>
        </w:rPr>
        <w:lastRenderedPageBreak/>
        <w:t>todas las dimensiones del índice simultáneamente. La competitividad territorial, medida por el IDC, opera como factor protector: fortalecer las capacidades institucionales, la infraestructura y los mercados laborales locales es tan urgente como la atención directa a las víctimas.</w:t>
      </w:r>
    </w:p>
    <w:p w14:paraId="0B40786F" w14:textId="77777777" w:rsidR="008E5C04" w:rsidRPr="008E5C04" w:rsidRDefault="008E5C04" w:rsidP="008E5C04">
      <w:pPr>
        <w:spacing w:after="240" w:line="480" w:lineRule="auto"/>
        <w:ind w:firstLine="709"/>
        <w:rPr>
          <w:rFonts w:ascii="Times New Roman" w:hAnsi="Times New Roman" w:cs="Times New Roman"/>
        </w:rPr>
      </w:pPr>
      <w:r w:rsidRPr="008E5C04">
        <w:rPr>
          <w:rFonts w:ascii="Times New Roman" w:hAnsi="Times New Roman" w:cs="Times New Roman"/>
        </w:rPr>
        <w:t xml:space="preserve">Desde el punto de vista metodológico, este estudio demuestra que el LASSO es una herramienta valiosa para seleccionar variables de control en contextos donde la cantidad de indicadores disponibles supera ampliamente el número de observaciones, como ocurre con el IDC y los datos departamentales colombianos. Al mismo tiempo, los resultados evidencian los límites de un panel de tres años para identificar efectos causales en fenómenos de acumulación histórica como el conflicto armado: la variación temporal </w:t>
      </w:r>
      <w:proofErr w:type="spellStart"/>
      <w:r w:rsidRPr="008E5C04">
        <w:rPr>
          <w:rFonts w:ascii="Times New Roman" w:hAnsi="Times New Roman" w:cs="Times New Roman"/>
        </w:rPr>
        <w:t>within</w:t>
      </w:r>
      <w:proofErr w:type="spellEnd"/>
      <w:r w:rsidRPr="008E5C04">
        <w:rPr>
          <w:rFonts w:ascii="Times New Roman" w:hAnsi="Times New Roman" w:cs="Times New Roman"/>
        </w:rPr>
        <w:t xml:space="preserve"> es insuficiente para capturar procesos que se desarrollan en décadas.</w:t>
      </w:r>
    </w:p>
    <w:p w14:paraId="4358ECE7" w14:textId="70EC0A32" w:rsidR="008E5C04" w:rsidRPr="008E5C04" w:rsidRDefault="008E5C04" w:rsidP="008E5C04">
      <w:pPr>
        <w:spacing w:after="240" w:line="480" w:lineRule="auto"/>
        <w:ind w:firstLine="709"/>
        <w:rPr>
          <w:rFonts w:ascii="Times New Roman" w:hAnsi="Times New Roman" w:cs="Times New Roman"/>
        </w:rPr>
      </w:pPr>
      <w:r w:rsidRPr="008E5C04">
        <w:rPr>
          <w:rFonts w:ascii="Times New Roman" w:hAnsi="Times New Roman" w:cs="Times New Roman"/>
        </w:rPr>
        <w:t>Esta limitación abre una agenda de investigación concreta. Ampliar el panel a los años anteriores a 2023 —incorporando datos del DANE desde 2010 y el registro histórico de la Unidad para las Víctimas— permitiría identificar el efecto directo del conflicto sobre el IPM con mayor precisión estadística. Incluir variables de desplazamiento específicas a nivel municipal, estimar modelos con heterogeneidad espacial mediante econometría espacial, y desagregar el análisis por dimensión del IPM son extensiones que enriquecerían sustancialmente los hallazgos. Finalmente, un análisis de heterogeneidad por género y condición de jefatura del hogar permitiría visibilizar las formas en que el conflicto amplifica las desigualdades preexistentes entre grupos poblacionales, en línea con lo documentado por Ochoa Díaz y Orjuela Ortiz (</w:t>
      </w:r>
      <w:r w:rsidR="007A1CEF">
        <w:rPr>
          <w:rFonts w:ascii="Times New Roman" w:hAnsi="Times New Roman" w:cs="Times New Roman"/>
        </w:rPr>
        <w:t>2013</w:t>
      </w:r>
      <w:r w:rsidRPr="008E5C04">
        <w:rPr>
          <w:rFonts w:ascii="Times New Roman" w:hAnsi="Times New Roman" w:cs="Times New Roman"/>
        </w:rPr>
        <w:t>) y Dowd et al. (2025).</w:t>
      </w:r>
    </w:p>
    <w:p w14:paraId="2A49B109" w14:textId="458524B2" w:rsidR="005A11AC" w:rsidRDefault="008E5C04" w:rsidP="008E5C04">
      <w:pPr>
        <w:spacing w:after="240" w:line="480" w:lineRule="auto"/>
        <w:ind w:firstLine="709"/>
        <w:rPr>
          <w:rFonts w:ascii="Times New Roman" w:hAnsi="Times New Roman" w:cs="Times New Roman"/>
        </w:rPr>
      </w:pPr>
      <w:r w:rsidRPr="008E5C04">
        <w:rPr>
          <w:rFonts w:ascii="Times New Roman" w:hAnsi="Times New Roman" w:cs="Times New Roman"/>
        </w:rPr>
        <w:t xml:space="preserve">Colombia avanza en la construcción de paz, pero la evidencia muestra que la paz territorial solo será sostenible si va acompañada de intervenciones estructurales que cierren las brechas </w:t>
      </w:r>
      <w:r w:rsidRPr="008E5C04">
        <w:rPr>
          <w:rFonts w:ascii="Times New Roman" w:hAnsi="Times New Roman" w:cs="Times New Roman"/>
        </w:rPr>
        <w:lastRenderedPageBreak/>
        <w:t>multidimensionales que seis décadas de conflicto han profundizado. Este artículo es un paso en esa dirección.</w:t>
      </w:r>
    </w:p>
    <w:p w14:paraId="596A4023" w14:textId="74382E00" w:rsidR="000E321E" w:rsidRPr="005A11AC" w:rsidRDefault="00000000" w:rsidP="005A11AC">
      <w:pPr>
        <w:pStyle w:val="Ttulo1"/>
        <w:spacing w:line="360" w:lineRule="auto"/>
      </w:pPr>
      <w:r w:rsidRPr="005A11AC">
        <w:t>Referencias</w:t>
      </w:r>
    </w:p>
    <w:p w14:paraId="5C2B569B"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t>Admasu, Y., Alkire, S., Ekhator-</w:t>
      </w:r>
      <w:proofErr w:type="spellStart"/>
      <w:r w:rsidRPr="00333D41">
        <w:rPr>
          <w:rFonts w:ascii="Times New Roman" w:hAnsi="Times New Roman" w:cs="Times New Roman"/>
        </w:rPr>
        <w:t>Mobayode</w:t>
      </w:r>
      <w:proofErr w:type="spellEnd"/>
      <w:r w:rsidRPr="00333D41">
        <w:rPr>
          <w:rFonts w:ascii="Times New Roman" w:hAnsi="Times New Roman" w:cs="Times New Roman"/>
        </w:rPr>
        <w:t xml:space="preserve">, U. E., Kovesdi, F., Santamaría, J., y </w:t>
      </w:r>
      <w:proofErr w:type="spellStart"/>
      <w:r w:rsidRPr="00333D41">
        <w:rPr>
          <w:rFonts w:ascii="Times New Roman" w:hAnsi="Times New Roman" w:cs="Times New Roman"/>
        </w:rPr>
        <w:t>Scharlin</w:t>
      </w:r>
      <w:proofErr w:type="spellEnd"/>
      <w:r w:rsidRPr="00333D41">
        <w:rPr>
          <w:rFonts w:ascii="Times New Roman" w:hAnsi="Times New Roman" w:cs="Times New Roman"/>
        </w:rPr>
        <w:t>-Pettee, S. (2021). Análisis multinacional de la pobreza multidimensional en contextos de desplazamiento forzado. Grupo del Banco Mundial. https://doi.org/10.1596/1813-9450-9826</w:t>
      </w:r>
    </w:p>
    <w:p w14:paraId="05A654A0"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t xml:space="preserve">Alkire, S., y Foster, J. (2011). </w:t>
      </w:r>
      <w:r w:rsidRPr="00333D41">
        <w:rPr>
          <w:rFonts w:ascii="Times New Roman" w:hAnsi="Times New Roman" w:cs="Times New Roman"/>
          <w:lang w:val="en-US"/>
        </w:rPr>
        <w:t xml:space="preserve">Counting and multidimensional poverty measurement. </w:t>
      </w:r>
      <w:proofErr w:type="spellStart"/>
      <w:r w:rsidRPr="00333D41">
        <w:rPr>
          <w:rFonts w:ascii="Times New Roman" w:hAnsi="Times New Roman" w:cs="Times New Roman"/>
        </w:rPr>
        <w:t>Journal</w:t>
      </w:r>
      <w:proofErr w:type="spellEnd"/>
      <w:r w:rsidRPr="00333D41">
        <w:rPr>
          <w:rFonts w:ascii="Times New Roman" w:hAnsi="Times New Roman" w:cs="Times New Roman"/>
        </w:rPr>
        <w:t xml:space="preserve"> </w:t>
      </w:r>
      <w:proofErr w:type="spellStart"/>
      <w:r w:rsidRPr="00333D41">
        <w:rPr>
          <w:rFonts w:ascii="Times New Roman" w:hAnsi="Times New Roman" w:cs="Times New Roman"/>
        </w:rPr>
        <w:t>of</w:t>
      </w:r>
      <w:proofErr w:type="spellEnd"/>
      <w:r w:rsidRPr="00333D41">
        <w:rPr>
          <w:rFonts w:ascii="Times New Roman" w:hAnsi="Times New Roman" w:cs="Times New Roman"/>
        </w:rPr>
        <w:t xml:space="preserve"> Public </w:t>
      </w:r>
      <w:proofErr w:type="spellStart"/>
      <w:r w:rsidRPr="00333D41">
        <w:rPr>
          <w:rFonts w:ascii="Times New Roman" w:hAnsi="Times New Roman" w:cs="Times New Roman"/>
        </w:rPr>
        <w:t>Economics</w:t>
      </w:r>
      <w:proofErr w:type="spellEnd"/>
      <w:r w:rsidRPr="00333D41">
        <w:rPr>
          <w:rFonts w:ascii="Times New Roman" w:hAnsi="Times New Roman" w:cs="Times New Roman"/>
        </w:rPr>
        <w:t>, 95(7–8), 476–487. https://doi.org/10.1016/j.jpubeco.2010.11.006</w:t>
      </w:r>
    </w:p>
    <w:p w14:paraId="59092935"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t>Alto Comisionado de las Naciones Unidas para los Refugiados [ACNUR]. (2023). Tendencias globales: Desplazamiento forzado en 2022. ACNUR. https://www.unhcr.org</w:t>
      </w:r>
    </w:p>
    <w:p w14:paraId="4F7EC11A" w14:textId="77777777" w:rsidR="000E321E" w:rsidRPr="00333D41" w:rsidRDefault="00000000" w:rsidP="00333D41">
      <w:pPr>
        <w:spacing w:after="160" w:line="480" w:lineRule="auto"/>
        <w:ind w:left="720" w:hanging="720"/>
        <w:jc w:val="both"/>
        <w:rPr>
          <w:rFonts w:ascii="Times New Roman" w:hAnsi="Times New Roman" w:cs="Times New Roman"/>
          <w:lang w:val="en-US"/>
        </w:rPr>
      </w:pPr>
      <w:r w:rsidRPr="00333D41">
        <w:rPr>
          <w:rFonts w:ascii="Times New Roman" w:hAnsi="Times New Roman" w:cs="Times New Roman"/>
        </w:rPr>
        <w:t xml:space="preserve">Bernal, C., Prem, M., Vargas, J. F., y Ortiz, M. (2023). Entrada pacífica: Dinámicas empresariales durante el acuerdo de paz de Colombia. </w:t>
      </w:r>
      <w:r w:rsidRPr="00333D41">
        <w:rPr>
          <w:rFonts w:ascii="Times New Roman" w:hAnsi="Times New Roman" w:cs="Times New Roman"/>
          <w:lang w:val="en-US"/>
        </w:rPr>
        <w:t>Journal of Development Economics, 162, 103119. https://doi.org/10.1016/j.jdeveco.2023.103119</w:t>
      </w:r>
    </w:p>
    <w:p w14:paraId="4CC2DD08" w14:textId="77777777" w:rsidR="000E321E" w:rsidRPr="00333D41" w:rsidRDefault="00000000" w:rsidP="00333D41">
      <w:pPr>
        <w:spacing w:after="160" w:line="480" w:lineRule="auto"/>
        <w:ind w:left="720" w:hanging="720"/>
        <w:jc w:val="both"/>
        <w:rPr>
          <w:rFonts w:ascii="Times New Roman" w:hAnsi="Times New Roman" w:cs="Times New Roman"/>
          <w:lang w:val="en-US"/>
        </w:rPr>
      </w:pPr>
      <w:r w:rsidRPr="00333D41">
        <w:rPr>
          <w:rFonts w:ascii="Times New Roman" w:hAnsi="Times New Roman" w:cs="Times New Roman"/>
          <w:lang w:val="en-US"/>
        </w:rPr>
        <w:t xml:space="preserve">Cantillo, T., y Garza, N. (2022). </w:t>
      </w:r>
      <w:r w:rsidRPr="00333D41">
        <w:rPr>
          <w:rFonts w:ascii="Times New Roman" w:hAnsi="Times New Roman" w:cs="Times New Roman"/>
        </w:rPr>
        <w:t xml:space="preserve">Conflicto armado, instituciones y deforestación: Un análisis espaciotemporal dinámico de Colombia 2000–2018. </w:t>
      </w:r>
      <w:r w:rsidRPr="00333D41">
        <w:rPr>
          <w:rFonts w:ascii="Times New Roman" w:hAnsi="Times New Roman" w:cs="Times New Roman"/>
          <w:lang w:val="en-US"/>
        </w:rPr>
        <w:t>World Development, 157, 106041. https://doi.org/10.1016/j.worlddev.2022.106041</w:t>
      </w:r>
    </w:p>
    <w:p w14:paraId="6AA66CE5"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lang w:val="en-US"/>
        </w:rPr>
        <w:t xml:space="preserve">Collier, P., y Hoeffler, A. (2004). Greed and grievance in civil war. </w:t>
      </w:r>
      <w:r w:rsidRPr="00333D41">
        <w:rPr>
          <w:rFonts w:ascii="Times New Roman" w:hAnsi="Times New Roman" w:cs="Times New Roman"/>
        </w:rPr>
        <w:t xml:space="preserve">Oxford </w:t>
      </w:r>
      <w:proofErr w:type="spellStart"/>
      <w:r w:rsidRPr="00333D41">
        <w:rPr>
          <w:rFonts w:ascii="Times New Roman" w:hAnsi="Times New Roman" w:cs="Times New Roman"/>
        </w:rPr>
        <w:t>Economic</w:t>
      </w:r>
      <w:proofErr w:type="spellEnd"/>
      <w:r w:rsidRPr="00333D41">
        <w:rPr>
          <w:rFonts w:ascii="Times New Roman" w:hAnsi="Times New Roman" w:cs="Times New Roman"/>
        </w:rPr>
        <w:t xml:space="preserve"> </w:t>
      </w:r>
      <w:proofErr w:type="spellStart"/>
      <w:r w:rsidRPr="00333D41">
        <w:rPr>
          <w:rFonts w:ascii="Times New Roman" w:hAnsi="Times New Roman" w:cs="Times New Roman"/>
        </w:rPr>
        <w:t>Papers</w:t>
      </w:r>
      <w:proofErr w:type="spellEnd"/>
      <w:r w:rsidRPr="00333D41">
        <w:rPr>
          <w:rFonts w:ascii="Times New Roman" w:hAnsi="Times New Roman" w:cs="Times New Roman"/>
        </w:rPr>
        <w:t>, 56(4), 563–595. https://doi.org/10.1093/oep/gpf064</w:t>
      </w:r>
    </w:p>
    <w:p w14:paraId="0DAC8A1A"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t>Consejo Privado de Competitividad [CPC]. (2025). Índice de Competitividad Departamental 2025. CPC.</w:t>
      </w:r>
    </w:p>
    <w:p w14:paraId="2F3AB30E"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lastRenderedPageBreak/>
        <w:t>Departamento Administrativo Nacional de Estadística [DANE]. (2023). Pobreza multidimensional en Colombia: Resultados 2022. DANE. https://www.dane.gov.co</w:t>
      </w:r>
    </w:p>
    <w:p w14:paraId="79F3EEFB" w14:textId="77777777" w:rsidR="000E321E" w:rsidRPr="00333D41" w:rsidRDefault="00000000" w:rsidP="00333D41">
      <w:pPr>
        <w:spacing w:after="160" w:line="480" w:lineRule="auto"/>
        <w:ind w:left="720" w:hanging="720"/>
        <w:jc w:val="both"/>
        <w:rPr>
          <w:rFonts w:ascii="Times New Roman" w:hAnsi="Times New Roman" w:cs="Times New Roman"/>
          <w:lang w:val="en-US"/>
        </w:rPr>
      </w:pPr>
      <w:r w:rsidRPr="00333D41">
        <w:rPr>
          <w:rFonts w:ascii="Times New Roman" w:hAnsi="Times New Roman" w:cs="Times New Roman"/>
        </w:rPr>
        <w:t xml:space="preserve">Dowd, C., </w:t>
      </w:r>
      <w:proofErr w:type="spellStart"/>
      <w:r w:rsidRPr="00333D41">
        <w:rPr>
          <w:rFonts w:ascii="Times New Roman" w:hAnsi="Times New Roman" w:cs="Times New Roman"/>
        </w:rPr>
        <w:t>Kumalo</w:t>
      </w:r>
      <w:proofErr w:type="spellEnd"/>
      <w:r w:rsidRPr="00333D41">
        <w:rPr>
          <w:rFonts w:ascii="Times New Roman" w:hAnsi="Times New Roman" w:cs="Times New Roman"/>
        </w:rPr>
        <w:t xml:space="preserve">, L., y Joyi, N. (2025). Las dimensiones de sexo y género del hambre en tiempos de paz y conflicto: una revisión. </w:t>
      </w:r>
      <w:r w:rsidRPr="00333D41">
        <w:rPr>
          <w:rFonts w:ascii="Times New Roman" w:hAnsi="Times New Roman" w:cs="Times New Roman"/>
          <w:lang w:val="en-US"/>
        </w:rPr>
        <w:t>World Development, 188, 107170. https://doi.org/10.1016/j.worlddev.2025.107170</w:t>
      </w:r>
    </w:p>
    <w:p w14:paraId="1E241DA7"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lang w:val="en-US"/>
        </w:rPr>
        <w:t xml:space="preserve">Eid, M. H., Kamel, M. S., Amer, A. S. K., y Szűcs, P. (2024). </w:t>
      </w:r>
      <w:r w:rsidRPr="00333D41">
        <w:rPr>
          <w:rFonts w:ascii="Times New Roman" w:hAnsi="Times New Roman" w:cs="Times New Roman"/>
        </w:rPr>
        <w:t xml:space="preserve">Predicción espacial de conflictos armados desde la perspectiva de la geografía política. </w:t>
      </w:r>
      <w:proofErr w:type="spellStart"/>
      <w:r w:rsidRPr="00333D41">
        <w:rPr>
          <w:rFonts w:ascii="Times New Roman" w:hAnsi="Times New Roman" w:cs="Times New Roman"/>
        </w:rPr>
        <w:t>Heliyon</w:t>
      </w:r>
      <w:proofErr w:type="spellEnd"/>
      <w:r w:rsidRPr="00333D41">
        <w:rPr>
          <w:rFonts w:ascii="Times New Roman" w:hAnsi="Times New Roman" w:cs="Times New Roman"/>
        </w:rPr>
        <w:t>, 10(19), e38684. https://doi.org/10.1016/j.heliyon.2024.e38684</w:t>
      </w:r>
    </w:p>
    <w:p w14:paraId="6A925CEB" w14:textId="77777777" w:rsidR="000E321E" w:rsidRPr="00333D41" w:rsidRDefault="00000000" w:rsidP="00333D41">
      <w:pPr>
        <w:spacing w:after="160" w:line="480" w:lineRule="auto"/>
        <w:ind w:left="720" w:hanging="720"/>
        <w:jc w:val="both"/>
        <w:rPr>
          <w:rFonts w:ascii="Times New Roman" w:hAnsi="Times New Roman" w:cs="Times New Roman"/>
          <w:lang w:val="en-US"/>
        </w:rPr>
      </w:pPr>
      <w:r w:rsidRPr="00333D41">
        <w:rPr>
          <w:rFonts w:ascii="Times New Roman" w:hAnsi="Times New Roman" w:cs="Times New Roman"/>
        </w:rPr>
        <w:t xml:space="preserve">Hausman, J. A. (1978). </w:t>
      </w:r>
      <w:r w:rsidRPr="00333D41">
        <w:rPr>
          <w:rFonts w:ascii="Times New Roman" w:hAnsi="Times New Roman" w:cs="Times New Roman"/>
          <w:lang w:val="en-US"/>
        </w:rPr>
        <w:t xml:space="preserve">Specification tests in econometrics. </w:t>
      </w:r>
      <w:proofErr w:type="spellStart"/>
      <w:r w:rsidRPr="00333D41">
        <w:rPr>
          <w:rFonts w:ascii="Times New Roman" w:hAnsi="Times New Roman" w:cs="Times New Roman"/>
          <w:lang w:val="en-US"/>
        </w:rPr>
        <w:t>Econometrica</w:t>
      </w:r>
      <w:proofErr w:type="spellEnd"/>
      <w:r w:rsidRPr="00333D41">
        <w:rPr>
          <w:rFonts w:ascii="Times New Roman" w:hAnsi="Times New Roman" w:cs="Times New Roman"/>
          <w:lang w:val="en-US"/>
        </w:rPr>
        <w:t>, 46(6), 1251–1271. https://doi.org/10.2307/1913827</w:t>
      </w:r>
    </w:p>
    <w:p w14:paraId="0C0387A1"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t>Ministerio de Hacienda y Crédito Público [MHCP] y Departamento Nacional de Planeación [DNP]. (2024). Informe presupuestal de la política pública dirigida a la población víctima del desplazamiento forzado 2024–2025. MHCP-DNP.</w:t>
      </w:r>
    </w:p>
    <w:p w14:paraId="7E76E04F" w14:textId="7F31CE1F"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t>Muñetón Santa, G., et al. (</w:t>
      </w:r>
      <w:r w:rsidR="007A1CEF">
        <w:rPr>
          <w:rFonts w:ascii="Times New Roman" w:hAnsi="Times New Roman" w:cs="Times New Roman"/>
        </w:rPr>
        <w:t>2018</w:t>
      </w:r>
      <w:r w:rsidRPr="00333D41">
        <w:rPr>
          <w:rFonts w:ascii="Times New Roman" w:hAnsi="Times New Roman" w:cs="Times New Roman"/>
        </w:rPr>
        <w:t>). Desplazamiento forzado y pobreza multidimensional en Antioquia, Colombia. Investigaciones Regionales.</w:t>
      </w:r>
    </w:p>
    <w:p w14:paraId="31883913" w14:textId="576E9580"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t>Ochoa Díaz, D., y Orjuela Ortiz, M. (</w:t>
      </w:r>
      <w:r w:rsidR="007A1CEF">
        <w:rPr>
          <w:rFonts w:ascii="Times New Roman" w:hAnsi="Times New Roman" w:cs="Times New Roman"/>
        </w:rPr>
        <w:t>2013</w:t>
      </w:r>
      <w:r w:rsidRPr="00333D41">
        <w:rPr>
          <w:rFonts w:ascii="Times New Roman" w:hAnsi="Times New Roman" w:cs="Times New Roman"/>
        </w:rPr>
        <w:t>). El desplazamiento forzado y la pobreza de la mujer cabeza de hogar en Colombia. Revista de Economía del Rosario. ISSN 1900-3803.</w:t>
      </w:r>
    </w:p>
    <w:p w14:paraId="520269D7"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t>Organización de las Naciones Unidas [ONU]. (2015). Transformar nuestro mundo: la Agenda 2030 para el Desarrollo Sostenible. Resolución A/RES/70/1. ONU.</w:t>
      </w:r>
    </w:p>
    <w:p w14:paraId="41A33213"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lastRenderedPageBreak/>
        <w:t>Peiró-Palomino, J., Picazo-Tadeo, A. J., y Tortosa-</w:t>
      </w:r>
      <w:proofErr w:type="spellStart"/>
      <w:r w:rsidRPr="00333D41">
        <w:rPr>
          <w:rFonts w:ascii="Times New Roman" w:hAnsi="Times New Roman" w:cs="Times New Roman"/>
        </w:rPr>
        <w:t>Ausina</w:t>
      </w:r>
      <w:proofErr w:type="spellEnd"/>
      <w:r w:rsidRPr="00333D41">
        <w:rPr>
          <w:rFonts w:ascii="Times New Roman" w:hAnsi="Times New Roman" w:cs="Times New Roman"/>
        </w:rPr>
        <w:t>, E. (2021). Medición del bienestar en los departamentos colombianos. Socio-</w:t>
      </w:r>
      <w:proofErr w:type="spellStart"/>
      <w:r w:rsidRPr="00333D41">
        <w:rPr>
          <w:rFonts w:ascii="Times New Roman" w:hAnsi="Times New Roman" w:cs="Times New Roman"/>
        </w:rPr>
        <w:t>Economic</w:t>
      </w:r>
      <w:proofErr w:type="spellEnd"/>
      <w:r w:rsidRPr="00333D41">
        <w:rPr>
          <w:rFonts w:ascii="Times New Roman" w:hAnsi="Times New Roman" w:cs="Times New Roman"/>
        </w:rPr>
        <w:t xml:space="preserve"> </w:t>
      </w:r>
      <w:proofErr w:type="spellStart"/>
      <w:r w:rsidRPr="00333D41">
        <w:rPr>
          <w:rFonts w:ascii="Times New Roman" w:hAnsi="Times New Roman" w:cs="Times New Roman"/>
        </w:rPr>
        <w:t>Planning</w:t>
      </w:r>
      <w:proofErr w:type="spellEnd"/>
      <w:r w:rsidRPr="00333D41">
        <w:rPr>
          <w:rFonts w:ascii="Times New Roman" w:hAnsi="Times New Roman" w:cs="Times New Roman"/>
        </w:rPr>
        <w:t xml:space="preserve"> </w:t>
      </w:r>
      <w:proofErr w:type="spellStart"/>
      <w:r w:rsidRPr="00333D41">
        <w:rPr>
          <w:rFonts w:ascii="Times New Roman" w:hAnsi="Times New Roman" w:cs="Times New Roman"/>
        </w:rPr>
        <w:t>Sciences</w:t>
      </w:r>
      <w:proofErr w:type="spellEnd"/>
      <w:r w:rsidRPr="00333D41">
        <w:rPr>
          <w:rFonts w:ascii="Times New Roman" w:hAnsi="Times New Roman" w:cs="Times New Roman"/>
        </w:rPr>
        <w:t>, 78, 101072. https://doi.org/10.1016/j.seps.2021.101072</w:t>
      </w:r>
    </w:p>
    <w:p w14:paraId="2CC4DBFE"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t>Programa de las Naciones Unidas para el Desarrollo [PNUD]. (2023). Informe sobre Desarrollo Humano 2023/2024. PNUD. https://hdr.undp.org</w:t>
      </w:r>
    </w:p>
    <w:p w14:paraId="173877FE" w14:textId="77777777" w:rsidR="000E321E" w:rsidRPr="00333D41" w:rsidRDefault="00000000" w:rsidP="00333D41">
      <w:pPr>
        <w:spacing w:after="160" w:line="480" w:lineRule="auto"/>
        <w:ind w:left="720" w:hanging="720"/>
        <w:jc w:val="both"/>
        <w:rPr>
          <w:rFonts w:ascii="Times New Roman" w:hAnsi="Times New Roman" w:cs="Times New Roman"/>
          <w:lang w:val="en-US"/>
        </w:rPr>
      </w:pPr>
      <w:r w:rsidRPr="00333D41">
        <w:rPr>
          <w:rFonts w:ascii="Times New Roman" w:hAnsi="Times New Roman" w:cs="Times New Roman"/>
        </w:rPr>
        <w:t xml:space="preserve">Sánchez-Zamora, P., </w:t>
      </w:r>
      <w:proofErr w:type="spellStart"/>
      <w:r w:rsidRPr="00333D41">
        <w:rPr>
          <w:rFonts w:ascii="Times New Roman" w:hAnsi="Times New Roman" w:cs="Times New Roman"/>
        </w:rPr>
        <w:t>Gallardo</w:t>
      </w:r>
      <w:proofErr w:type="spellEnd"/>
      <w:r w:rsidRPr="00333D41">
        <w:rPr>
          <w:rFonts w:ascii="Times New Roman" w:hAnsi="Times New Roman" w:cs="Times New Roman"/>
        </w:rPr>
        <w:t xml:space="preserve">-Cobos, R., y Romero-Huertas, C. (2017). Evaluación de los determinantes de la cohesión territorial: Evidencia de los departamentos colombianos. </w:t>
      </w:r>
      <w:proofErr w:type="spellStart"/>
      <w:r w:rsidRPr="00333D41">
        <w:rPr>
          <w:rFonts w:ascii="Times New Roman" w:hAnsi="Times New Roman" w:cs="Times New Roman"/>
          <w:lang w:val="en-US"/>
        </w:rPr>
        <w:t>Geoforum</w:t>
      </w:r>
      <w:proofErr w:type="spellEnd"/>
      <w:r w:rsidRPr="00333D41">
        <w:rPr>
          <w:rFonts w:ascii="Times New Roman" w:hAnsi="Times New Roman" w:cs="Times New Roman"/>
          <w:lang w:val="en-US"/>
        </w:rPr>
        <w:t>, 87, 11–23. https://doi.org/10.1016/j.geoforum.2017.10.004</w:t>
      </w:r>
    </w:p>
    <w:p w14:paraId="6C600125"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lang w:val="en-US"/>
        </w:rPr>
        <w:t xml:space="preserve">Sen, A. (1999). Development as freedom. </w:t>
      </w:r>
      <w:r w:rsidRPr="00333D41">
        <w:rPr>
          <w:rFonts w:ascii="Times New Roman" w:hAnsi="Times New Roman" w:cs="Times New Roman"/>
        </w:rPr>
        <w:t>Oxford University Press.</w:t>
      </w:r>
    </w:p>
    <w:p w14:paraId="3A18D949"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t xml:space="preserve">Suárez, A., Arias-Arévalo, P., Martínez-Mera, E., </w:t>
      </w:r>
      <w:proofErr w:type="spellStart"/>
      <w:r w:rsidRPr="00333D41">
        <w:rPr>
          <w:rFonts w:ascii="Times New Roman" w:hAnsi="Times New Roman" w:cs="Times New Roman"/>
        </w:rPr>
        <w:t>Granobles</w:t>
      </w:r>
      <w:proofErr w:type="spellEnd"/>
      <w:r w:rsidRPr="00333D41">
        <w:rPr>
          <w:rFonts w:ascii="Times New Roman" w:hAnsi="Times New Roman" w:cs="Times New Roman"/>
        </w:rPr>
        <w:t xml:space="preserve">-Torres, J. C., y Enríquez-Acevedo, T. (2019). Involucrar a la población víctima en estrategias ambientalmente sostenibles. </w:t>
      </w:r>
      <w:proofErr w:type="spellStart"/>
      <w:r w:rsidRPr="00333D41">
        <w:rPr>
          <w:rFonts w:ascii="Times New Roman" w:hAnsi="Times New Roman" w:cs="Times New Roman"/>
        </w:rPr>
        <w:t>Science</w:t>
      </w:r>
      <w:proofErr w:type="spellEnd"/>
      <w:r w:rsidRPr="00333D41">
        <w:rPr>
          <w:rFonts w:ascii="Times New Roman" w:hAnsi="Times New Roman" w:cs="Times New Roman"/>
        </w:rPr>
        <w:t xml:space="preserve"> </w:t>
      </w:r>
      <w:proofErr w:type="spellStart"/>
      <w:r w:rsidRPr="00333D41">
        <w:rPr>
          <w:rFonts w:ascii="Times New Roman" w:hAnsi="Times New Roman" w:cs="Times New Roman"/>
        </w:rPr>
        <w:t>of</w:t>
      </w:r>
      <w:proofErr w:type="spellEnd"/>
      <w:r w:rsidRPr="00333D41">
        <w:rPr>
          <w:rFonts w:ascii="Times New Roman" w:hAnsi="Times New Roman" w:cs="Times New Roman"/>
        </w:rPr>
        <w:t xml:space="preserve"> The Total </w:t>
      </w:r>
      <w:proofErr w:type="spellStart"/>
      <w:r w:rsidRPr="00333D41">
        <w:rPr>
          <w:rFonts w:ascii="Times New Roman" w:hAnsi="Times New Roman" w:cs="Times New Roman"/>
        </w:rPr>
        <w:t>Environment</w:t>
      </w:r>
      <w:proofErr w:type="spellEnd"/>
      <w:r w:rsidRPr="00333D41">
        <w:rPr>
          <w:rFonts w:ascii="Times New Roman" w:hAnsi="Times New Roman" w:cs="Times New Roman"/>
        </w:rPr>
        <w:t>, 650, 2067–2078. https://doi.org/10.1016/j.scitotenv.2018.06.262</w:t>
      </w:r>
    </w:p>
    <w:p w14:paraId="66548E46" w14:textId="77777777" w:rsidR="000E321E" w:rsidRPr="00333D41" w:rsidRDefault="00000000" w:rsidP="00333D41">
      <w:pPr>
        <w:spacing w:after="160" w:line="480" w:lineRule="auto"/>
        <w:ind w:left="720" w:hanging="720"/>
        <w:jc w:val="both"/>
        <w:rPr>
          <w:rFonts w:ascii="Times New Roman" w:hAnsi="Times New Roman" w:cs="Times New Roman"/>
          <w:lang w:val="en-US"/>
        </w:rPr>
      </w:pPr>
      <w:r w:rsidRPr="00333D41">
        <w:rPr>
          <w:rFonts w:ascii="Times New Roman" w:hAnsi="Times New Roman" w:cs="Times New Roman"/>
        </w:rPr>
        <w:t xml:space="preserve">Swamy, P. A. V. B., y Arora, S. S. (1972). </w:t>
      </w:r>
      <w:r w:rsidRPr="00333D41">
        <w:rPr>
          <w:rFonts w:ascii="Times New Roman" w:hAnsi="Times New Roman" w:cs="Times New Roman"/>
          <w:lang w:val="en-US"/>
        </w:rPr>
        <w:t xml:space="preserve">The exact finite sample properties of the estimators of coefficients in the error components regression models. </w:t>
      </w:r>
      <w:proofErr w:type="spellStart"/>
      <w:r w:rsidRPr="00333D41">
        <w:rPr>
          <w:rFonts w:ascii="Times New Roman" w:hAnsi="Times New Roman" w:cs="Times New Roman"/>
          <w:lang w:val="en-US"/>
        </w:rPr>
        <w:t>Econometrica</w:t>
      </w:r>
      <w:proofErr w:type="spellEnd"/>
      <w:r w:rsidRPr="00333D41">
        <w:rPr>
          <w:rFonts w:ascii="Times New Roman" w:hAnsi="Times New Roman" w:cs="Times New Roman"/>
          <w:lang w:val="en-US"/>
        </w:rPr>
        <w:t>, 40(2), 261–275. https://doi.org/10.2307/1909405</w:t>
      </w:r>
    </w:p>
    <w:p w14:paraId="54E2FB94" w14:textId="77777777" w:rsidR="000E321E" w:rsidRPr="00333D41" w:rsidRDefault="00000000" w:rsidP="00333D41">
      <w:pPr>
        <w:spacing w:after="160" w:line="480" w:lineRule="auto"/>
        <w:ind w:left="720" w:hanging="720"/>
        <w:jc w:val="both"/>
        <w:rPr>
          <w:rFonts w:ascii="Times New Roman" w:hAnsi="Times New Roman" w:cs="Times New Roman"/>
          <w:lang w:val="en-US"/>
        </w:rPr>
      </w:pPr>
      <w:proofErr w:type="spellStart"/>
      <w:r w:rsidRPr="00333D41">
        <w:rPr>
          <w:rFonts w:ascii="Times New Roman" w:hAnsi="Times New Roman" w:cs="Times New Roman"/>
          <w:lang w:val="en-US"/>
        </w:rPr>
        <w:t>Tibshirani</w:t>
      </w:r>
      <w:proofErr w:type="spellEnd"/>
      <w:r w:rsidRPr="00333D41">
        <w:rPr>
          <w:rFonts w:ascii="Times New Roman" w:hAnsi="Times New Roman" w:cs="Times New Roman"/>
          <w:lang w:val="en-US"/>
        </w:rPr>
        <w:t>, R. (1996). Regression shrinkage and selection via the lasso. Journal of the Royal Statistical Society: Series B, 58(1), 267–288. https://doi.org/10.1111/j.2517-6161.1996.tb02080.x</w:t>
      </w:r>
    </w:p>
    <w:p w14:paraId="22DA490A"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lang w:val="en-US"/>
        </w:rPr>
        <w:t xml:space="preserve">Trani, J.-F., y Cannings, T. I. (2013). </w:t>
      </w:r>
      <w:r w:rsidRPr="00333D41">
        <w:rPr>
          <w:rFonts w:ascii="Times New Roman" w:hAnsi="Times New Roman" w:cs="Times New Roman"/>
        </w:rPr>
        <w:t xml:space="preserve">Pobreza infantil en un contexto de emergencia y conflicto: un perfil multidimensional en Darfur Occidental. World </w:t>
      </w:r>
      <w:proofErr w:type="spellStart"/>
      <w:r w:rsidRPr="00333D41">
        <w:rPr>
          <w:rFonts w:ascii="Times New Roman" w:hAnsi="Times New Roman" w:cs="Times New Roman"/>
        </w:rPr>
        <w:t>Development</w:t>
      </w:r>
      <w:proofErr w:type="spellEnd"/>
      <w:r w:rsidRPr="00333D41">
        <w:rPr>
          <w:rFonts w:ascii="Times New Roman" w:hAnsi="Times New Roman" w:cs="Times New Roman"/>
        </w:rPr>
        <w:t>, 48, 48–70. https://doi.org/10.1016/j.worlddev.2013.03.005</w:t>
      </w:r>
    </w:p>
    <w:p w14:paraId="2B30CA2B"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rPr>
        <w:lastRenderedPageBreak/>
        <w:t>Unidad para las Víctimas. (2025). Registro Único de Víctimas. Gobierno de Colombia. https://www.unidadvictimas.gov.co</w:t>
      </w:r>
    </w:p>
    <w:p w14:paraId="09C89CAE" w14:textId="77777777" w:rsidR="000E321E" w:rsidRPr="00333D41" w:rsidRDefault="00000000" w:rsidP="00333D41">
      <w:pPr>
        <w:spacing w:after="160" w:line="480" w:lineRule="auto"/>
        <w:ind w:left="720" w:hanging="720"/>
        <w:jc w:val="both"/>
        <w:rPr>
          <w:rFonts w:ascii="Times New Roman" w:hAnsi="Times New Roman" w:cs="Times New Roman"/>
        </w:rPr>
      </w:pPr>
      <w:r w:rsidRPr="00333D41">
        <w:rPr>
          <w:rFonts w:ascii="Times New Roman" w:hAnsi="Times New Roman" w:cs="Times New Roman"/>
          <w:lang w:val="en-US"/>
        </w:rPr>
        <w:t xml:space="preserve">Wooldridge, J. M. (2010). Econometric analysis of cross section and panel data (2nd ed.). </w:t>
      </w:r>
      <w:r w:rsidRPr="00333D41">
        <w:rPr>
          <w:rFonts w:ascii="Times New Roman" w:hAnsi="Times New Roman" w:cs="Times New Roman"/>
        </w:rPr>
        <w:t>MIT Press.</w:t>
      </w:r>
    </w:p>
    <w:sectPr w:rsidR="000E321E" w:rsidRPr="00333D41">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06A40"/>
    <w:multiLevelType w:val="hybridMultilevel"/>
    <w:tmpl w:val="B02655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4F546CB"/>
    <w:multiLevelType w:val="hybridMultilevel"/>
    <w:tmpl w:val="2B48BBA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7C2D1DD4"/>
    <w:multiLevelType w:val="hybridMultilevel"/>
    <w:tmpl w:val="89C27B12"/>
    <w:lvl w:ilvl="0" w:tplc="014616D2">
      <w:start w:val="1"/>
      <w:numFmt w:val="bullet"/>
      <w:lvlText w:val="●"/>
      <w:lvlJc w:val="left"/>
      <w:pPr>
        <w:ind w:left="720" w:hanging="360"/>
      </w:pPr>
    </w:lvl>
    <w:lvl w:ilvl="1" w:tplc="F27AD0BE">
      <w:start w:val="1"/>
      <w:numFmt w:val="bullet"/>
      <w:lvlText w:val="○"/>
      <w:lvlJc w:val="left"/>
      <w:pPr>
        <w:ind w:left="1440" w:hanging="360"/>
      </w:pPr>
    </w:lvl>
    <w:lvl w:ilvl="2" w:tplc="C7D49D32">
      <w:start w:val="1"/>
      <w:numFmt w:val="bullet"/>
      <w:lvlText w:val="■"/>
      <w:lvlJc w:val="left"/>
      <w:pPr>
        <w:ind w:left="2160" w:hanging="360"/>
      </w:pPr>
    </w:lvl>
    <w:lvl w:ilvl="3" w:tplc="F208CE48">
      <w:start w:val="1"/>
      <w:numFmt w:val="bullet"/>
      <w:lvlText w:val="●"/>
      <w:lvlJc w:val="left"/>
      <w:pPr>
        <w:ind w:left="2880" w:hanging="360"/>
      </w:pPr>
    </w:lvl>
    <w:lvl w:ilvl="4" w:tplc="5A003834">
      <w:start w:val="1"/>
      <w:numFmt w:val="bullet"/>
      <w:lvlText w:val="○"/>
      <w:lvlJc w:val="left"/>
      <w:pPr>
        <w:ind w:left="3600" w:hanging="360"/>
      </w:pPr>
    </w:lvl>
    <w:lvl w:ilvl="5" w:tplc="73FC0D6A">
      <w:start w:val="1"/>
      <w:numFmt w:val="bullet"/>
      <w:lvlText w:val="■"/>
      <w:lvlJc w:val="left"/>
      <w:pPr>
        <w:ind w:left="4320" w:hanging="360"/>
      </w:pPr>
    </w:lvl>
    <w:lvl w:ilvl="6" w:tplc="EA50BF68">
      <w:start w:val="1"/>
      <w:numFmt w:val="bullet"/>
      <w:lvlText w:val="●"/>
      <w:lvlJc w:val="left"/>
      <w:pPr>
        <w:ind w:left="5040" w:hanging="360"/>
      </w:pPr>
    </w:lvl>
    <w:lvl w:ilvl="7" w:tplc="9ABA46FC">
      <w:start w:val="1"/>
      <w:numFmt w:val="bullet"/>
      <w:lvlText w:val="●"/>
      <w:lvlJc w:val="left"/>
      <w:pPr>
        <w:ind w:left="5760" w:hanging="360"/>
      </w:pPr>
    </w:lvl>
    <w:lvl w:ilvl="8" w:tplc="91C81AF8">
      <w:start w:val="1"/>
      <w:numFmt w:val="bullet"/>
      <w:lvlText w:val="●"/>
      <w:lvlJc w:val="left"/>
      <w:pPr>
        <w:ind w:left="6480" w:hanging="360"/>
      </w:pPr>
    </w:lvl>
  </w:abstractNum>
  <w:abstractNum w:abstractNumId="3" w15:restartNumberingAfterBreak="0">
    <w:nsid w:val="7DC53F93"/>
    <w:multiLevelType w:val="multilevel"/>
    <w:tmpl w:val="7542D83E"/>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18194612">
    <w:abstractNumId w:val="2"/>
    <w:lvlOverride w:ilvl="0">
      <w:startOverride w:val="1"/>
    </w:lvlOverride>
  </w:num>
  <w:num w:numId="2" w16cid:durableId="911548056">
    <w:abstractNumId w:val="3"/>
  </w:num>
  <w:num w:numId="3" w16cid:durableId="158662749">
    <w:abstractNumId w:val="0"/>
  </w:num>
  <w:num w:numId="4" w16cid:durableId="1956062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21E"/>
    <w:rsid w:val="00034171"/>
    <w:rsid w:val="000E321E"/>
    <w:rsid w:val="001E0840"/>
    <w:rsid w:val="002F6858"/>
    <w:rsid w:val="00333D41"/>
    <w:rsid w:val="003473B6"/>
    <w:rsid w:val="003E00AE"/>
    <w:rsid w:val="004573FC"/>
    <w:rsid w:val="004F7322"/>
    <w:rsid w:val="005A11AC"/>
    <w:rsid w:val="005E2DCD"/>
    <w:rsid w:val="007A1CEF"/>
    <w:rsid w:val="007D546D"/>
    <w:rsid w:val="00865272"/>
    <w:rsid w:val="008E5C04"/>
    <w:rsid w:val="0090558F"/>
    <w:rsid w:val="009277A5"/>
    <w:rsid w:val="0094158B"/>
    <w:rsid w:val="00A55DC4"/>
    <w:rsid w:val="00B67552"/>
    <w:rsid w:val="00B90931"/>
    <w:rsid w:val="00B97109"/>
    <w:rsid w:val="00C84F8A"/>
    <w:rsid w:val="00CD68AD"/>
    <w:rsid w:val="00CF7EB9"/>
    <w:rsid w:val="00DD07E2"/>
    <w:rsid w:val="00EB04A2"/>
    <w:rsid w:val="00EE299B"/>
    <w:rsid w:val="00F135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D341"/>
  <w15:docId w15:val="{46F167A2-8819-42EC-B2F0-B65A80567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333D41"/>
    <w:pPr>
      <w:spacing w:before="400" w:after="200"/>
      <w:jc w:val="center"/>
      <w:outlineLvl w:val="0"/>
    </w:pPr>
    <w:rPr>
      <w:rFonts w:ascii="Times New Roman" w:hAnsi="Times New Roman"/>
      <w:b/>
      <w:bCs/>
      <w:color w:val="000000" w:themeColor="text1"/>
      <w:szCs w:val="28"/>
    </w:rPr>
  </w:style>
  <w:style w:type="paragraph" w:styleId="Ttulo2">
    <w:name w:val="heading 2"/>
    <w:uiPriority w:val="9"/>
    <w:unhideWhenUsed/>
    <w:qFormat/>
    <w:rsid w:val="00C84F8A"/>
    <w:pPr>
      <w:spacing w:before="300" w:after="160"/>
      <w:outlineLvl w:val="1"/>
    </w:pPr>
    <w:rPr>
      <w:rFonts w:ascii="Times New Roman" w:hAnsi="Times New Roman"/>
      <w:b/>
      <w:bCs/>
      <w:color w:val="000000" w:themeColor="text1"/>
      <w:szCs w:val="26"/>
    </w:rPr>
  </w:style>
  <w:style w:type="paragraph" w:styleId="Ttulo3">
    <w:name w:val="heading 3"/>
    <w:uiPriority w:val="9"/>
    <w:unhideWhenUsed/>
    <w:qFormat/>
    <w:rsid w:val="00C84F8A"/>
    <w:pPr>
      <w:spacing w:before="220" w:after="120"/>
      <w:outlineLvl w:val="2"/>
    </w:pPr>
    <w:rPr>
      <w:rFonts w:ascii="Times New Roman" w:hAnsi="Times New Roman"/>
      <w:b/>
      <w:bCs/>
      <w:i/>
      <w:color w:val="000000" w:themeColor="text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7D54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00A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62C3A9-0C5F-407E-B3D2-872961512301}">
  <we:reference id="wa200000368" version="1.0.0.0" store="es-MX" storeType="OMEX"/>
  <we:alternateReferences>
    <we:reference id="WA200000368" version="1.0.0.0" store="" storeType="OMEX"/>
  </we:alternateReferences>
  <we:properties>
    <we:property name="documentId" value="&quot;b81fab29b4a4398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189</TotalTime>
  <Pages>28</Pages>
  <Words>6476</Words>
  <Characters>35623</Characters>
  <Application>Microsoft Office Word</Application>
  <DocSecurity>0</DocSecurity>
  <Lines>296</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Yurley Liz.Bo</cp:lastModifiedBy>
  <cp:revision>26</cp:revision>
  <dcterms:created xsi:type="dcterms:W3CDTF">2026-04-20T03:35:00Z</dcterms:created>
  <dcterms:modified xsi:type="dcterms:W3CDTF">2026-06-10T16:05:00Z</dcterms:modified>
</cp:coreProperties>
</file>