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освіти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Львівська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технологій</w:t>
      </w:r>
      <w:proofErr w:type="spellEnd"/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систем </w:t>
      </w:r>
      <w:proofErr w:type="spellStart"/>
      <w:r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C217D2" w:rsidRDefault="00C217D2">
      <w:pPr>
        <w:pStyle w:val="A5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</w:p>
    <w:p w:rsidR="00C217D2" w:rsidRDefault="00133411">
      <w:pPr>
        <w:pStyle w:val="a6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2734273</wp:posOffset>
            </wp:positionH>
            <wp:positionV relativeFrom="line">
              <wp:posOffset>266441</wp:posOffset>
            </wp:positionV>
            <wp:extent cx="2438400" cy="231648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217D2" w:rsidRDefault="00C217D2">
      <w:pPr>
        <w:pStyle w:val="a6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6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6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6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6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Звіт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курсової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роботи</w:t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„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Бізнес</w:t>
      </w:r>
      <w:r>
        <w:rPr>
          <w:rFonts w:ascii="Times New Roman" w:hAnsi="Times New Roman"/>
          <w:b/>
          <w:bCs/>
          <w:kern w:val="28"/>
          <w:sz w:val="28"/>
          <w:szCs w:val="28"/>
        </w:rPr>
        <w:t>-</w:t>
      </w:r>
      <w:r>
        <w:rPr>
          <w:rFonts w:ascii="Times New Roman" w:hAnsi="Times New Roman"/>
          <w:b/>
          <w:bCs/>
          <w:kern w:val="28"/>
          <w:sz w:val="28"/>
          <w:szCs w:val="28"/>
        </w:rPr>
        <w:t>аналіз</w:t>
      </w:r>
      <w:proofErr w:type="spellEnd"/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розробка</w:t>
      </w:r>
      <w:proofErr w:type="spellEnd"/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технологічних</w:t>
      </w:r>
      <w:proofErr w:type="spellEnd"/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продуктів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Виконали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ПП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4</w:t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Кущик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Патрун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Букалюк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Р</w:t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Прийняла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C217D2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</w:pPr>
      <w:proofErr w:type="spellStart"/>
      <w:r>
        <w:rPr>
          <w:rFonts w:ascii="Times New Roman" w:hAnsi="Times New Roman"/>
          <w:sz w:val="28"/>
          <w:szCs w:val="28"/>
        </w:rPr>
        <w:t>Львів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2024</w:t>
      </w:r>
      <w:r>
        <w:rPr>
          <w:rFonts w:ascii="Arial Unicode MS" w:hAnsi="Arial Unicode MS"/>
          <w:sz w:val="28"/>
          <w:szCs w:val="28"/>
        </w:rPr>
        <w:br w:type="page"/>
      </w: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роботи</w:t>
      </w:r>
    </w:p>
    <w:p w:rsidR="00C217D2" w:rsidRDefault="00C217D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217D2" w:rsidRDefault="001334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фактів</w:t>
      </w:r>
      <w:proofErr w:type="spellEnd"/>
    </w:p>
    <w:p w:rsidR="00C217D2" w:rsidRDefault="00133411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2.1. </w:t>
      </w:r>
      <w:r>
        <w:rPr>
          <w:rFonts w:ascii="Times New Roman" w:hAnsi="Times New Roman"/>
          <w:b/>
          <w:bCs/>
          <w:sz w:val="28"/>
          <w:szCs w:val="28"/>
        </w:rPr>
        <w:t>Історичний огляд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pStyle w:val="41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 w:val="0"/>
          <w:iCs w:val="0"/>
          <w:color w:val="000000"/>
          <w:sz w:val="28"/>
          <w:szCs w:val="28"/>
          <w:u w:color="000000"/>
        </w:rPr>
        <w:t>Рік заснування та засновники</w:t>
      </w:r>
      <w:r>
        <w:rPr>
          <w:rFonts w:ascii="Times New Roman" w:hAnsi="Times New Roman"/>
          <w:b/>
          <w:bCs/>
          <w:i w:val="0"/>
          <w:iCs w:val="0"/>
          <w:color w:val="000000"/>
          <w:sz w:val="28"/>
          <w:szCs w:val="28"/>
          <w:u w:color="000000"/>
        </w:rPr>
        <w:t>:</w:t>
      </w:r>
    </w:p>
    <w:p w:rsidR="00C217D2" w:rsidRDefault="0013341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Ford Motor Company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заснована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16 </w:t>
      </w:r>
      <w:proofErr w:type="spellStart"/>
      <w:r>
        <w:rPr>
          <w:b/>
          <w:bCs/>
          <w:sz w:val="28"/>
          <w:szCs w:val="28"/>
        </w:rPr>
        <w:t>червня</w:t>
      </w:r>
      <w:proofErr w:type="spellEnd"/>
      <w:r>
        <w:rPr>
          <w:b/>
          <w:bCs/>
          <w:sz w:val="28"/>
          <w:szCs w:val="28"/>
        </w:rPr>
        <w:t xml:space="preserve"> 1903 </w:t>
      </w:r>
      <w:r>
        <w:rPr>
          <w:b/>
          <w:bCs/>
          <w:sz w:val="28"/>
          <w:szCs w:val="28"/>
          <w:lang w:val="ru-RU"/>
        </w:rPr>
        <w:t>року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Фордом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11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інвесторами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серед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Олександр </w:t>
      </w:r>
      <w:proofErr w:type="spellStart"/>
      <w:r>
        <w:rPr>
          <w:b/>
          <w:bCs/>
          <w:sz w:val="28"/>
          <w:szCs w:val="28"/>
          <w:lang w:val="ru-RU"/>
        </w:rPr>
        <w:t>Малкольмсон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Джон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Додж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Горацій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Додж</w:t>
      </w:r>
      <w:proofErr w:type="spellEnd"/>
      <w:r>
        <w:rPr>
          <w:sz w:val="28"/>
          <w:szCs w:val="28"/>
        </w:rPr>
        <w:t xml:space="preserve">, які </w:t>
      </w:r>
      <w:proofErr w:type="spellStart"/>
      <w:r>
        <w:rPr>
          <w:sz w:val="28"/>
          <w:szCs w:val="28"/>
        </w:rPr>
        <w:t>згодом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засновниками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Dodge. </w:t>
      </w:r>
      <w:proofErr w:type="spellStart"/>
      <w:r>
        <w:rPr>
          <w:sz w:val="28"/>
          <w:szCs w:val="28"/>
        </w:rPr>
        <w:t>Генрі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раніше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амбіції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споживання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41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 w:val="0"/>
          <w:iCs w:val="0"/>
          <w:color w:val="000000"/>
          <w:sz w:val="28"/>
          <w:szCs w:val="28"/>
          <w:u w:color="000000"/>
        </w:rPr>
        <w:t>Важливі моменти в розвитку та еволюції компанії</w:t>
      </w:r>
      <w:r>
        <w:rPr>
          <w:rFonts w:ascii="Times New Roman" w:hAnsi="Times New Roman"/>
          <w:b/>
          <w:bCs/>
          <w:i w:val="0"/>
          <w:iCs w:val="0"/>
          <w:color w:val="000000"/>
          <w:sz w:val="28"/>
          <w:szCs w:val="28"/>
          <w:u w:color="000000"/>
        </w:rPr>
        <w:t>:</w:t>
      </w:r>
    </w:p>
    <w:p w:rsidR="00C217D2" w:rsidRDefault="0013341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1908 </w:t>
      </w:r>
      <w:proofErr w:type="spellStart"/>
      <w:r>
        <w:rPr>
          <w:b/>
          <w:bCs/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Випуск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t-IT"/>
        </w:rPr>
        <w:t>Model 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успішного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fr-FR"/>
        </w:rPr>
        <w:t xml:space="preserve">Ford,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революційним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завдяки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доступно</w:t>
      </w:r>
      <w:r>
        <w:rPr>
          <w:sz w:val="28"/>
          <w:szCs w:val="28"/>
        </w:rPr>
        <w:t>сті</w:t>
      </w:r>
      <w:proofErr w:type="spellEnd"/>
      <w:r>
        <w:rPr>
          <w:sz w:val="28"/>
          <w:szCs w:val="28"/>
          <w:lang w:val="it-IT"/>
        </w:rPr>
        <w:t xml:space="preserve">. Model T </w:t>
      </w:r>
      <w:proofErr w:type="spellStart"/>
      <w:r>
        <w:rPr>
          <w:sz w:val="28"/>
          <w:szCs w:val="28"/>
        </w:rPr>
        <w:t>змінив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зробивши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1913 </w:t>
      </w:r>
      <w:proofErr w:type="spellStart"/>
      <w:r>
        <w:rPr>
          <w:b/>
          <w:bCs/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ru-RU"/>
        </w:rPr>
        <w:t>Впровадження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</w:rPr>
        <w:t>системи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конвеєрного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виробництва</w:t>
      </w:r>
      <w:proofErr w:type="spellEnd"/>
      <w:r>
        <w:rPr>
          <w:sz w:val="28"/>
          <w:szCs w:val="28"/>
          <w:lang w:val="ru-RU"/>
        </w:rPr>
        <w:t xml:space="preserve"> на заводах </w:t>
      </w:r>
      <w:r>
        <w:rPr>
          <w:sz w:val="28"/>
          <w:szCs w:val="28"/>
          <w:lang w:val="fr-FR"/>
        </w:rPr>
        <w:t xml:space="preserve">Ford,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суттєво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зменшило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виробництво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збільшило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збірки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інновація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дозволила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обсяги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знизити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1956 </w:t>
      </w:r>
      <w:proofErr w:type="spellStart"/>
      <w:r>
        <w:rPr>
          <w:b/>
          <w:bCs/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Перший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продаж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біржі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важливим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кроком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фінансовому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забезпечило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капіталу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інвес</w:t>
      </w:r>
      <w:r>
        <w:rPr>
          <w:sz w:val="28"/>
          <w:szCs w:val="28"/>
        </w:rPr>
        <w:t>тицій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2006 </w:t>
      </w:r>
      <w:proofErr w:type="spellStart"/>
      <w:r>
        <w:rPr>
          <w:b/>
          <w:bCs/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Реструктуризація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фінансові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труднощі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запроваджено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Way Forward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спрямований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скорочення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витрат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оптимізацію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стабілізувати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фінансовий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2019 </w:t>
      </w:r>
      <w:proofErr w:type="spellStart"/>
      <w:r>
        <w:rPr>
          <w:b/>
          <w:bCs/>
          <w:sz w:val="28"/>
          <w:szCs w:val="28"/>
        </w:rPr>
        <w:t>рік</w:t>
      </w:r>
      <w:proofErr w:type="spellEnd"/>
      <w:r>
        <w:rPr>
          <w:sz w:val="28"/>
          <w:szCs w:val="28"/>
        </w:rPr>
        <w:t xml:space="preserve">: Ford </w:t>
      </w:r>
      <w:proofErr w:type="spellStart"/>
      <w:r>
        <w:rPr>
          <w:sz w:val="28"/>
          <w:szCs w:val="28"/>
        </w:rPr>
        <w:t>інвестує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роз</w:t>
      </w:r>
      <w:r>
        <w:rPr>
          <w:sz w:val="28"/>
          <w:szCs w:val="28"/>
        </w:rPr>
        <w:t>виток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електромобілів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технологій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автономного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водіння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оголосивши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електрифікації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2025 </w:t>
      </w:r>
      <w:r>
        <w:rPr>
          <w:sz w:val="28"/>
          <w:szCs w:val="28"/>
          <w:lang w:val="ru-RU"/>
        </w:rPr>
        <w:t>року</w:t>
      </w:r>
      <w:r>
        <w:rPr>
          <w:sz w:val="28"/>
          <w:szCs w:val="28"/>
        </w:rPr>
        <w:t xml:space="preserve">. Це </w:t>
      </w:r>
      <w:proofErr w:type="spellStart"/>
      <w:r>
        <w:rPr>
          <w:sz w:val="28"/>
          <w:szCs w:val="28"/>
        </w:rPr>
        <w:t>стало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важливим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кроком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зростаючий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екологічні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транспортні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засоби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41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i w:val="0"/>
          <w:iCs w:val="0"/>
          <w:color w:val="000000"/>
          <w:sz w:val="28"/>
          <w:szCs w:val="28"/>
          <w:u w:color="000000"/>
        </w:rPr>
        <w:t>Ключові досягнення та нагороди</w:t>
      </w:r>
      <w:r>
        <w:rPr>
          <w:rFonts w:ascii="Times New Roman" w:hAnsi="Times New Roman"/>
          <w:b/>
          <w:bCs/>
          <w:i w:val="0"/>
          <w:iCs w:val="0"/>
          <w:color w:val="000000"/>
          <w:sz w:val="28"/>
          <w:szCs w:val="28"/>
          <w:u w:color="000000"/>
        </w:rPr>
        <w:t>:</w:t>
      </w:r>
    </w:p>
    <w:p w:rsidR="00C217D2" w:rsidRDefault="00133411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Ford </w:t>
      </w:r>
      <w:proofErr w:type="spellStart"/>
      <w:r>
        <w:rPr>
          <w:sz w:val="28"/>
          <w:szCs w:val="28"/>
        </w:rPr>
        <w:t>отримав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нагороди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інновації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безпеку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якість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свідчить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постійне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продукції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Ford F-150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багаторазово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визнавався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найкращим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пікапом</w:t>
      </w:r>
      <w:proofErr w:type="spellEnd"/>
      <w:r>
        <w:rPr>
          <w:sz w:val="28"/>
          <w:szCs w:val="28"/>
        </w:rPr>
        <w:t xml:space="preserve"> у США, </w:t>
      </w:r>
      <w:proofErr w:type="spellStart"/>
      <w:r>
        <w:rPr>
          <w:sz w:val="28"/>
          <w:szCs w:val="28"/>
        </w:rPr>
        <w:t>завдяки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надійності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потужності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</w:t>
      </w:r>
      <w:r>
        <w:rPr>
          <w:sz w:val="28"/>
          <w:szCs w:val="28"/>
        </w:rPr>
        <w:t>фортності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стабільні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продажі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сегменті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пікапів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виробництво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електричного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автомобіля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de-DE"/>
        </w:rPr>
        <w:t>Mustang Mach-E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знаковим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досягненням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галузі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екологічного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транспорту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поєднує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собі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традиції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марки</w:t>
      </w:r>
      <w:proofErr w:type="spellEnd"/>
      <w:r>
        <w:rPr>
          <w:sz w:val="28"/>
          <w:szCs w:val="28"/>
        </w:rPr>
        <w:t xml:space="preserve"> Fo</w:t>
      </w:r>
      <w:r>
        <w:rPr>
          <w:sz w:val="28"/>
          <w:szCs w:val="28"/>
        </w:rPr>
        <w:t xml:space="preserve">rd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сучасні</w:t>
      </w:r>
      <w:proofErr w:type="spellEnd"/>
      <w:r>
        <w:rPr>
          <w:sz w:val="28"/>
          <w:szCs w:val="28"/>
        </w:rPr>
        <w:t xml:space="preserve"> технології,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підкреслює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зобов’язання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сталого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Ford Motor Company </w:t>
      </w:r>
      <w:proofErr w:type="spellStart"/>
      <w:r>
        <w:rPr>
          <w:sz w:val="28"/>
          <w:szCs w:val="28"/>
        </w:rPr>
        <w:t>вважається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важливим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етапом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індустріалізації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зокрема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завдяки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впровадженню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конвеєрного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</w:t>
      </w:r>
      <w:r>
        <w:rPr>
          <w:sz w:val="28"/>
          <w:szCs w:val="28"/>
        </w:rPr>
        <w:t>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промисловість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економіку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загалом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2.2. </w:t>
      </w:r>
      <w:r>
        <w:rPr>
          <w:rFonts w:ascii="Times New Roman" w:hAnsi="Times New Roman"/>
          <w:b/>
          <w:bCs/>
          <w:sz w:val="28"/>
          <w:szCs w:val="28"/>
        </w:rPr>
        <w:t>Фінансова інформація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pStyle w:val="30"/>
        <w:rPr>
          <w:sz w:val="28"/>
          <w:szCs w:val="28"/>
        </w:rPr>
      </w:pPr>
      <w:r>
        <w:rPr>
          <w:sz w:val="28"/>
          <w:szCs w:val="28"/>
        </w:rPr>
        <w:t>Річний дохід:</w:t>
      </w:r>
    </w:p>
    <w:p w:rsidR="00C217D2" w:rsidRDefault="0013341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У 2023 </w:t>
      </w:r>
      <w:proofErr w:type="spellStart"/>
      <w:r>
        <w:rPr>
          <w:sz w:val="28"/>
          <w:szCs w:val="28"/>
        </w:rPr>
        <w:t>році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Ford Motor Company </w:t>
      </w:r>
      <w:proofErr w:type="spellStart"/>
      <w:r>
        <w:rPr>
          <w:sz w:val="28"/>
          <w:szCs w:val="28"/>
        </w:rPr>
        <w:t>склав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$176.19 </w:t>
      </w:r>
      <w:proofErr w:type="spellStart"/>
      <w:r>
        <w:rPr>
          <w:b/>
          <w:bCs/>
          <w:sz w:val="28"/>
          <w:szCs w:val="28"/>
        </w:rPr>
        <w:t>мільярдів</w:t>
      </w:r>
      <w:proofErr w:type="spellEnd"/>
      <w:r>
        <w:rPr>
          <w:sz w:val="28"/>
          <w:szCs w:val="28"/>
        </w:rPr>
        <w:t xml:space="preserve">. Це </w:t>
      </w:r>
      <w:proofErr w:type="spellStart"/>
      <w:r>
        <w:rPr>
          <w:sz w:val="28"/>
          <w:szCs w:val="28"/>
        </w:rPr>
        <w:t>показник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11.47%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у 2022 </w:t>
      </w:r>
      <w:proofErr w:type="spellStart"/>
      <w:r>
        <w:rPr>
          <w:sz w:val="28"/>
          <w:szCs w:val="28"/>
        </w:rPr>
        <w:t>році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свідчить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стабільне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фінансових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ru-RU"/>
        </w:rPr>
        <w:t>Основними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чинниками</w:t>
      </w:r>
      <w:proofErr w:type="spellEnd"/>
      <w:r>
        <w:rPr>
          <w:sz w:val="28"/>
          <w:szCs w:val="28"/>
        </w:rPr>
        <w:t xml:space="preserve">, які </w:t>
      </w:r>
      <w:proofErr w:type="spellStart"/>
      <w:r>
        <w:rPr>
          <w:sz w:val="28"/>
          <w:szCs w:val="28"/>
        </w:rPr>
        <w:t>сприяли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зростанню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стали</w:t>
      </w:r>
      <w:proofErr w:type="spellEnd"/>
      <w:r>
        <w:rPr>
          <w:sz w:val="28"/>
          <w:szCs w:val="28"/>
        </w:rPr>
        <w:t>:</w:t>
      </w:r>
    </w:p>
    <w:p w:rsidR="00C217D2" w:rsidRDefault="00133411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Зростання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продажів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пікапів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позашляховиків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fr-FR"/>
        </w:rPr>
        <w:t>Ford F-Series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F-Series, </w:t>
      </w:r>
      <w:r>
        <w:rPr>
          <w:sz w:val="28"/>
          <w:szCs w:val="28"/>
        </w:rPr>
        <w:t xml:space="preserve">які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популярністю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суттєво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вплинули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Завдяки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надійності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продуктивності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продажі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зросли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відобразилося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фінансових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показниках</w:t>
      </w:r>
      <w:proofErr w:type="spellEnd"/>
      <w:r>
        <w:rPr>
          <w:sz w:val="28"/>
          <w:szCs w:val="28"/>
        </w:rPr>
        <w:t xml:space="preserve"> Ford.</w:t>
      </w:r>
    </w:p>
    <w:p w:rsidR="00C217D2" w:rsidRDefault="00133411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Успіх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de-DE"/>
        </w:rPr>
        <w:t>Ford Mustang Mach-E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кросовер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популярним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завдяки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характ</w:t>
      </w:r>
      <w:r>
        <w:rPr>
          <w:sz w:val="28"/>
          <w:szCs w:val="28"/>
        </w:rPr>
        <w:t>еристикам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потужність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дальність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пробігу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екологічність</w:t>
      </w:r>
      <w:proofErr w:type="spellEnd"/>
      <w:r>
        <w:rPr>
          <w:sz w:val="28"/>
          <w:szCs w:val="28"/>
          <w:lang w:val="de-DE"/>
        </w:rPr>
        <w:t xml:space="preserve">. Mustang Mach-E </w:t>
      </w:r>
      <w:proofErr w:type="spellStart"/>
      <w:r>
        <w:rPr>
          <w:sz w:val="28"/>
          <w:szCs w:val="28"/>
        </w:rPr>
        <w:t>отримав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споживачів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збільшенню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обсягу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продажів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Відродження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Ford Bronco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Повернення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pt-PT"/>
        </w:rPr>
        <w:t xml:space="preserve">Bronco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зігр</w:t>
      </w:r>
      <w:r>
        <w:rPr>
          <w:sz w:val="28"/>
          <w:szCs w:val="28"/>
        </w:rPr>
        <w:t>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важливу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роль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зростанні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продажів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Бренд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ностальгію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привернув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споживачів</w:t>
      </w:r>
      <w:proofErr w:type="spellEnd"/>
      <w:r>
        <w:rPr>
          <w:sz w:val="28"/>
          <w:szCs w:val="28"/>
        </w:rPr>
        <w:t xml:space="preserve">, які </w:t>
      </w:r>
      <w:proofErr w:type="spellStart"/>
      <w:r>
        <w:rPr>
          <w:sz w:val="28"/>
          <w:szCs w:val="28"/>
        </w:rPr>
        <w:t>шукають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позашляховики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автентичним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дизайном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відмінними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характеристиками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rPr>
          <w:sz w:val="28"/>
          <w:szCs w:val="28"/>
        </w:rPr>
      </w:pP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останні</w:t>
      </w:r>
      <w:proofErr w:type="spellEnd"/>
      <w:r>
        <w:rPr>
          <w:sz w:val="28"/>
          <w:szCs w:val="28"/>
        </w:rPr>
        <w:t xml:space="preserve"> 12 </w:t>
      </w:r>
      <w:proofErr w:type="spellStart"/>
      <w:r>
        <w:rPr>
          <w:sz w:val="28"/>
          <w:szCs w:val="28"/>
        </w:rPr>
        <w:t>місяців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зріс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$180.35 </w:t>
      </w:r>
      <w:proofErr w:type="spellStart"/>
      <w:r>
        <w:rPr>
          <w:b/>
          <w:bCs/>
          <w:sz w:val="28"/>
          <w:szCs w:val="28"/>
        </w:rPr>
        <w:t>мільярдів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свідчить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ринку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показник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6.2%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рік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30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Чистий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прибуток</w:t>
      </w:r>
      <w:proofErr w:type="spellEnd"/>
      <w:r>
        <w:rPr>
          <w:sz w:val="28"/>
          <w:szCs w:val="28"/>
        </w:rPr>
        <w:t>:</w:t>
      </w:r>
    </w:p>
    <w:p w:rsidR="00C217D2" w:rsidRDefault="00133411">
      <w:pPr>
        <w:pStyle w:val="a7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Чистий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прибуток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Ford </w:t>
      </w: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</w:rPr>
        <w:t xml:space="preserve">2023 </w:t>
      </w:r>
      <w:proofErr w:type="spellStart"/>
      <w:r>
        <w:rPr>
          <w:sz w:val="28"/>
          <w:szCs w:val="28"/>
        </w:rPr>
        <w:t>році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близько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$8.2 </w:t>
      </w:r>
      <w:proofErr w:type="spellStart"/>
      <w:r>
        <w:rPr>
          <w:b/>
          <w:bCs/>
          <w:sz w:val="28"/>
          <w:szCs w:val="28"/>
        </w:rPr>
        <w:t>мільярдів</w:t>
      </w:r>
      <w:proofErr w:type="spellEnd"/>
      <w:r>
        <w:rPr>
          <w:sz w:val="28"/>
          <w:szCs w:val="28"/>
        </w:rPr>
        <w:t xml:space="preserve">. Це </w:t>
      </w:r>
      <w:proofErr w:type="spellStart"/>
      <w:r>
        <w:rPr>
          <w:sz w:val="28"/>
          <w:szCs w:val="28"/>
        </w:rPr>
        <w:t>свідчить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успішну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діяльність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адже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</w:t>
      </w:r>
      <w:r>
        <w:rPr>
          <w:sz w:val="28"/>
          <w:szCs w:val="28"/>
        </w:rPr>
        <w:t>утку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фінансувати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інвестиції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важливо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конкурентоспроможності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промисловості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30"/>
        <w:rPr>
          <w:sz w:val="28"/>
          <w:szCs w:val="28"/>
        </w:rPr>
      </w:pPr>
      <w:r>
        <w:rPr>
          <w:sz w:val="28"/>
          <w:szCs w:val="28"/>
        </w:rPr>
        <w:t>Рівень зростання:</w:t>
      </w:r>
    </w:p>
    <w:p w:rsidR="00C217D2" w:rsidRDefault="00133411">
      <w:pPr>
        <w:pStyle w:val="a7"/>
        <w:rPr>
          <w:sz w:val="28"/>
          <w:szCs w:val="28"/>
        </w:rPr>
      </w:pP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останні</w:t>
      </w:r>
      <w:proofErr w:type="spellEnd"/>
      <w:r>
        <w:rPr>
          <w:sz w:val="28"/>
          <w:szCs w:val="28"/>
        </w:rPr>
        <w:t xml:space="preserve"> 12 </w:t>
      </w:r>
      <w:proofErr w:type="spellStart"/>
      <w:r>
        <w:rPr>
          <w:sz w:val="28"/>
          <w:szCs w:val="28"/>
        </w:rPr>
        <w:t>місяців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$180.35 </w:t>
      </w:r>
      <w:proofErr w:type="spellStart"/>
      <w:r>
        <w:rPr>
          <w:b/>
          <w:bCs/>
          <w:sz w:val="28"/>
          <w:szCs w:val="28"/>
        </w:rPr>
        <w:t>мільярдів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6.2%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порівняно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попереднім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</w:t>
      </w:r>
      <w:r>
        <w:rPr>
          <w:sz w:val="28"/>
          <w:szCs w:val="28"/>
        </w:rPr>
        <w:t>ком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тренд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зростанні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доходів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прибутків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свідчить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Ford </w:t>
      </w:r>
      <w:proofErr w:type="spellStart"/>
      <w:r>
        <w:rPr>
          <w:sz w:val="28"/>
          <w:szCs w:val="28"/>
        </w:rPr>
        <w:t>адаптується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споживчих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перевагах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зокрема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попиту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електромобілі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позашляховики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Основні фінансові показники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Ринкова капіталізація</w:t>
      </w:r>
      <w:r>
        <w:rPr>
          <w:rFonts w:ascii="Times New Roman" w:hAnsi="Times New Roman"/>
          <w:sz w:val="28"/>
          <w:szCs w:val="28"/>
        </w:rPr>
        <w:t>:</w:t>
      </w:r>
    </w:p>
    <w:p w:rsidR="00C217D2" w:rsidRDefault="00133411">
      <w:pPr>
        <w:numPr>
          <w:ilvl w:val="1"/>
          <w:numId w:val="10"/>
        </w:numPr>
        <w:spacing w:before="100" w:after="10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Станом на вересень </w:t>
      </w:r>
      <w:r>
        <w:rPr>
          <w:rFonts w:ascii="Times New Roman" w:hAnsi="Times New Roman"/>
          <w:sz w:val="28"/>
          <w:szCs w:val="28"/>
          <w:lang w:val="en-US"/>
        </w:rPr>
        <w:t xml:space="preserve">2024 </w:t>
      </w:r>
      <w:r>
        <w:rPr>
          <w:rFonts w:ascii="Times New Roman" w:hAnsi="Times New Roman"/>
          <w:sz w:val="28"/>
          <w:szCs w:val="28"/>
        </w:rPr>
        <w:t xml:space="preserve">року ринкова капіталізація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становить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приблизно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$55 </w:t>
      </w:r>
      <w:r>
        <w:rPr>
          <w:rFonts w:ascii="Times New Roman" w:hAnsi="Times New Roman"/>
          <w:b/>
          <w:bCs/>
          <w:sz w:val="28"/>
          <w:szCs w:val="28"/>
        </w:rPr>
        <w:t>мільярдів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Цей показник відображає загальну вартість всіх акцій компанії на ринку і свідчить про її позицію в автомобільній індустрії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Порівняно з конкурентами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ринкова капітал</w:t>
      </w:r>
      <w:r>
        <w:rPr>
          <w:rFonts w:ascii="Times New Roman" w:hAnsi="Times New Roman"/>
          <w:sz w:val="28"/>
          <w:szCs w:val="28"/>
        </w:rPr>
        <w:t>ізація може вказувати на довіру інвесторів до бізнес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моделі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її майбутніх перспектив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Коефіцієнт ліквідності</w:t>
      </w:r>
      <w:r>
        <w:rPr>
          <w:rFonts w:ascii="Times New Roman" w:hAnsi="Times New Roman"/>
          <w:sz w:val="28"/>
          <w:szCs w:val="28"/>
        </w:rPr>
        <w:t>:</w:t>
      </w:r>
    </w:p>
    <w:p w:rsidR="00C217D2" w:rsidRDefault="00133411">
      <w:pPr>
        <w:numPr>
          <w:ilvl w:val="1"/>
          <w:numId w:val="1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Поточний коефіцієнт ліквідності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становить </w:t>
      </w:r>
      <w:r>
        <w:rPr>
          <w:rFonts w:ascii="Times New Roman" w:hAnsi="Times New Roman"/>
          <w:b/>
          <w:bCs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 означає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що компанія має </w:t>
      </w:r>
      <w:r>
        <w:rPr>
          <w:rFonts w:ascii="Times New Roman" w:hAnsi="Times New Roman"/>
          <w:sz w:val="28"/>
          <w:szCs w:val="28"/>
          <w:lang w:val="en-US"/>
        </w:rPr>
        <w:t xml:space="preserve">$1.20 </w:t>
      </w:r>
      <w:r>
        <w:rPr>
          <w:rFonts w:ascii="Times New Roman" w:hAnsi="Times New Roman"/>
          <w:sz w:val="28"/>
          <w:szCs w:val="28"/>
        </w:rPr>
        <w:t>ліквідних активів на кожен долар короткострокових зоб</w:t>
      </w:r>
      <w:r>
        <w:rPr>
          <w:rFonts w:ascii="Times New Roman" w:hAnsi="Times New Roman"/>
          <w:sz w:val="28"/>
          <w:szCs w:val="28"/>
        </w:rPr>
        <w:t>ов’язань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Значення вище </w:t>
      </w:r>
      <w:r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</w:rPr>
        <w:t>свідчить про 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компанія в змозі покривати свої короткострокові зобов’язання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є позитивним показником фінансової стійкості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 важливо для підтримки операційної діяльності та забезпечення фінансової гнучкості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Заборгованість</w:t>
      </w:r>
      <w:r>
        <w:rPr>
          <w:rFonts w:ascii="Times New Roman" w:hAnsi="Times New Roman"/>
          <w:sz w:val="28"/>
          <w:szCs w:val="28"/>
        </w:rPr>
        <w:t>:</w:t>
      </w:r>
    </w:p>
    <w:p w:rsidR="00C217D2" w:rsidRDefault="00133411">
      <w:pPr>
        <w:numPr>
          <w:ilvl w:val="1"/>
          <w:numId w:val="1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Загальна заборгованість компанії становить близько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$90 </w:t>
      </w:r>
      <w:r>
        <w:rPr>
          <w:rFonts w:ascii="Times New Roman" w:hAnsi="Times New Roman"/>
          <w:b/>
          <w:bCs/>
          <w:sz w:val="28"/>
          <w:szCs w:val="28"/>
        </w:rPr>
        <w:t>мільярдів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Цей показник відображає загальні фінансові зобов’язання </w:t>
      </w:r>
      <w:r>
        <w:rPr>
          <w:rFonts w:ascii="Times New Roman" w:hAnsi="Times New Roman"/>
          <w:sz w:val="28"/>
          <w:szCs w:val="28"/>
          <w:lang w:val="fr-FR"/>
        </w:rPr>
        <w:t xml:space="preserve">Ford, </w:t>
      </w:r>
      <w:r>
        <w:rPr>
          <w:rFonts w:ascii="Times New Roman" w:hAnsi="Times New Roman"/>
          <w:sz w:val="28"/>
          <w:szCs w:val="28"/>
        </w:rPr>
        <w:t>включаючи довгострокові та короткострокові кредити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Високий рівень заборгованості може викликати занепокоєння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днак при стабільному доході та прибутку компанія має можливість обслуговувати свої борги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Вплив фінансових показників на стабільність та здатність до зростання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12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Стабільність</w:t>
      </w:r>
      <w:r>
        <w:rPr>
          <w:rFonts w:ascii="Times New Roman" w:hAnsi="Times New Roman"/>
          <w:sz w:val="28"/>
          <w:szCs w:val="28"/>
        </w:rPr>
        <w:t>:</w:t>
      </w:r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Високий рівень доходу та прибутку свідчить про фінансову стабільність компанії на</w:t>
      </w:r>
      <w:r>
        <w:rPr>
          <w:rFonts w:ascii="Times New Roman" w:hAnsi="Times New Roman"/>
          <w:sz w:val="28"/>
          <w:szCs w:val="28"/>
        </w:rPr>
        <w:t xml:space="preserve"> ринку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Стійкість доходів дозволяє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забезпечувати операційні витрати та інвестувати в розвиток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Коефіцієнт ліквідності </w:t>
      </w:r>
      <w:r>
        <w:rPr>
          <w:rFonts w:ascii="Times New Roman" w:hAnsi="Times New Roman"/>
          <w:b/>
          <w:bCs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 xml:space="preserve"> демонструє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компанія має достатньо ресурсів для покриття своїх короткострокових зобов’язань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є позитивним показником фінанс</w:t>
      </w:r>
      <w:r>
        <w:rPr>
          <w:rFonts w:ascii="Times New Roman" w:hAnsi="Times New Roman"/>
          <w:sz w:val="28"/>
          <w:szCs w:val="28"/>
        </w:rPr>
        <w:t>ової стабільності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12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Здатність до зростання</w:t>
      </w:r>
      <w:r>
        <w:rPr>
          <w:rFonts w:ascii="Times New Roman" w:hAnsi="Times New Roman"/>
          <w:sz w:val="28"/>
          <w:szCs w:val="28"/>
        </w:rPr>
        <w:t>:</w:t>
      </w:r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Зростання доходу на </w:t>
      </w:r>
      <w:r>
        <w:rPr>
          <w:rFonts w:ascii="Times New Roman" w:hAnsi="Times New Roman"/>
          <w:b/>
          <w:bCs/>
          <w:sz w:val="28"/>
          <w:szCs w:val="28"/>
        </w:rPr>
        <w:t>11.47%</w:t>
      </w:r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r>
        <w:rPr>
          <w:rFonts w:ascii="Times New Roman" w:hAnsi="Times New Roman"/>
          <w:sz w:val="28"/>
          <w:szCs w:val="28"/>
        </w:rPr>
        <w:t xml:space="preserve">2023 </w:t>
      </w:r>
      <w:r>
        <w:rPr>
          <w:rFonts w:ascii="Times New Roman" w:hAnsi="Times New Roman"/>
          <w:sz w:val="28"/>
          <w:szCs w:val="28"/>
        </w:rPr>
        <w:t xml:space="preserve">році та </w:t>
      </w:r>
      <w:r>
        <w:rPr>
          <w:rFonts w:ascii="Times New Roman" w:hAnsi="Times New Roman"/>
          <w:b/>
          <w:bCs/>
          <w:sz w:val="28"/>
          <w:szCs w:val="28"/>
        </w:rPr>
        <w:t>6.2%</w:t>
      </w:r>
      <w:r>
        <w:rPr>
          <w:rFonts w:ascii="Times New Roman" w:hAnsi="Times New Roman"/>
          <w:sz w:val="28"/>
          <w:szCs w:val="28"/>
        </w:rPr>
        <w:t xml:space="preserve"> за останні </w:t>
      </w:r>
      <w:r>
        <w:rPr>
          <w:rFonts w:ascii="Times New Roman" w:hAnsi="Times New Roman"/>
          <w:sz w:val="28"/>
          <w:szCs w:val="28"/>
        </w:rPr>
        <w:t xml:space="preserve">12 </w:t>
      </w:r>
      <w:r>
        <w:rPr>
          <w:rFonts w:ascii="Times New Roman" w:hAnsi="Times New Roman"/>
          <w:sz w:val="28"/>
          <w:szCs w:val="28"/>
        </w:rPr>
        <w:t>місяців свідчить про позитивну динаміку розвитку компанії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Це зростання дозволяє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інвестувати в нові технології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розширювати свій ринок та </w:t>
      </w:r>
      <w:r>
        <w:rPr>
          <w:rFonts w:ascii="Times New Roman" w:hAnsi="Times New Roman"/>
          <w:sz w:val="28"/>
          <w:szCs w:val="28"/>
        </w:rPr>
        <w:t>адаптуватися до змін у попиті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Наприклад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компанія може фінансувати розвиток електричних автомобілів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покращення технологій виробництва або розширення асортименту продукції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підвищує її конкурентоспроможність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C21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u w:color="111111"/>
        </w:rPr>
      </w:pPr>
    </w:p>
    <w:p w:rsidR="00C217D2" w:rsidRDefault="00133411">
      <w:pPr>
        <w:pStyle w:val="a7"/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ехнологічний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профіль</w:t>
      </w:r>
      <w:proofErr w:type="spellEnd"/>
      <w:r>
        <w:rPr>
          <w:b/>
          <w:bCs/>
          <w:sz w:val="28"/>
          <w:szCs w:val="28"/>
        </w:rPr>
        <w:t>:</w:t>
      </w:r>
    </w:p>
    <w:p w:rsidR="00C217D2" w:rsidRDefault="00133411">
      <w:pPr>
        <w:pStyle w:val="a7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Ступінь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автоматизації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виробничих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підтримувальних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адміністративних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процесів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"Ford" </w:t>
      </w:r>
      <w:proofErr w:type="spellStart"/>
      <w:r>
        <w:rPr>
          <w:sz w:val="28"/>
          <w:szCs w:val="28"/>
        </w:rPr>
        <w:t>значно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автоматизувала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зосередивши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увагу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сучасних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лініях</w:t>
      </w:r>
      <w:proofErr w:type="spellEnd"/>
      <w:r>
        <w:rPr>
          <w:sz w:val="28"/>
          <w:szCs w:val="28"/>
        </w:rPr>
        <w:t xml:space="preserve"> Ford </w:t>
      </w:r>
      <w:proofErr w:type="spellStart"/>
      <w:r>
        <w:rPr>
          <w:sz w:val="28"/>
          <w:szCs w:val="28"/>
        </w:rPr>
        <w:t>працюють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автономні</w:t>
      </w:r>
      <w:proofErr w:type="spellEnd"/>
      <w:r>
        <w:rPr>
          <w:sz w:val="28"/>
          <w:szCs w:val="28"/>
        </w:rPr>
        <w:t xml:space="preserve"> роботи, </w:t>
      </w:r>
      <w:r>
        <w:rPr>
          <w:sz w:val="28"/>
          <w:szCs w:val="28"/>
        </w:rPr>
        <w:t xml:space="preserve">які </w:t>
      </w:r>
      <w:proofErr w:type="spellStart"/>
      <w:r>
        <w:rPr>
          <w:sz w:val="28"/>
          <w:szCs w:val="28"/>
        </w:rPr>
        <w:t>виконують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рутинні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як-от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зварювання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фарбування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швидкість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зменшують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людських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того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автоматизація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підтримувальних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контроль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логістика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Ford </w:t>
      </w:r>
      <w:proofErr w:type="spellStart"/>
      <w:r>
        <w:rPr>
          <w:sz w:val="28"/>
          <w:szCs w:val="28"/>
        </w:rPr>
        <w:t>оптимізувати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Адміністративні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автоматизацію</w:t>
      </w:r>
      <w:proofErr w:type="spellEnd"/>
      <w:r>
        <w:rPr>
          <w:sz w:val="28"/>
          <w:szCs w:val="28"/>
        </w:rPr>
        <w:t xml:space="preserve">. Це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постачальниками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інтегров</w:t>
      </w:r>
      <w:r>
        <w:rPr>
          <w:sz w:val="28"/>
          <w:szCs w:val="28"/>
        </w:rPr>
        <w:t>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. Це </w:t>
      </w:r>
      <w:proofErr w:type="spellStart"/>
      <w:r>
        <w:rPr>
          <w:sz w:val="28"/>
          <w:szCs w:val="28"/>
        </w:rPr>
        <w:t>забезпечує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ефективність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прозорість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Використання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інформаційних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систем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технологій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"Ford" </w:t>
      </w:r>
      <w:proofErr w:type="spellStart"/>
      <w:r>
        <w:rPr>
          <w:sz w:val="28"/>
          <w:szCs w:val="28"/>
        </w:rPr>
        <w:t>активно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сучасні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CRM (Customer Relationship Management)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ERP (Ent</w:t>
      </w:r>
      <w:r>
        <w:rPr>
          <w:sz w:val="28"/>
          <w:szCs w:val="28"/>
        </w:rPr>
        <w:t xml:space="preserve">erprise Resource Planning),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поліпшення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взаємодії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клієнтами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de-DE"/>
        </w:rPr>
        <w:t xml:space="preserve">CRM </w:t>
      </w:r>
      <w:proofErr w:type="spellStart"/>
      <w:r>
        <w:rPr>
          <w:sz w:val="28"/>
          <w:szCs w:val="28"/>
        </w:rPr>
        <w:t>допомагають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відстеженні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клієнтів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автоматизації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маркетингових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кампаній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продажів</w:t>
      </w:r>
      <w:proofErr w:type="spellEnd"/>
      <w:r>
        <w:rPr>
          <w:sz w:val="28"/>
          <w:szCs w:val="28"/>
        </w:rPr>
        <w:t xml:space="preserve">, а </w:t>
      </w:r>
      <w:r>
        <w:rPr>
          <w:sz w:val="28"/>
          <w:szCs w:val="28"/>
          <w:lang w:val="de-DE"/>
        </w:rPr>
        <w:t xml:space="preserve">ERP </w:t>
      </w:r>
      <w:proofErr w:type="spellStart"/>
      <w:r>
        <w:rPr>
          <w:sz w:val="28"/>
          <w:szCs w:val="28"/>
        </w:rPr>
        <w:t>інтегрує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бізнес-процеси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</w:t>
      </w:r>
      <w:r>
        <w:rPr>
          <w:sz w:val="28"/>
          <w:szCs w:val="28"/>
        </w:rPr>
        <w:t>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постачаннями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фінансами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Компанія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впроваджує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штучний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інтелект</w:t>
      </w:r>
      <w:proofErr w:type="spellEnd"/>
      <w:r>
        <w:rPr>
          <w:sz w:val="28"/>
          <w:szCs w:val="28"/>
        </w:rPr>
        <w:t xml:space="preserve"> (AI)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обслуговування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клієнтів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прогнозування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попиту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обсягів</w:t>
      </w:r>
      <w:proofErr w:type="spellEnd"/>
      <w:r>
        <w:rPr>
          <w:sz w:val="28"/>
          <w:szCs w:val="28"/>
        </w:rPr>
        <w:t xml:space="preserve"> даних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підвищення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продуктивності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ефективності</w:t>
      </w:r>
      <w:proofErr w:type="spellEnd"/>
      <w:r>
        <w:rPr>
          <w:sz w:val="28"/>
          <w:szCs w:val="28"/>
        </w:rPr>
        <w:t xml:space="preserve">. AI </w:t>
      </w:r>
      <w:proofErr w:type="spellStart"/>
      <w:r>
        <w:rPr>
          <w:sz w:val="28"/>
          <w:szCs w:val="28"/>
        </w:rPr>
        <w:t>та</w:t>
      </w:r>
      <w:r>
        <w:rPr>
          <w:sz w:val="28"/>
          <w:szCs w:val="28"/>
        </w:rPr>
        <w:t>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допомагає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автономного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автомобілями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важливою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майбутнього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автомобілебудування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pStyle w:val="a7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Інноваційні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проекти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ініціативи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Ford </w:t>
      </w:r>
      <w:proofErr w:type="spellStart"/>
      <w:r>
        <w:rPr>
          <w:sz w:val="28"/>
          <w:szCs w:val="28"/>
        </w:rPr>
        <w:t>інвестує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розвиток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інноваційних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електромобілів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</w:t>
      </w:r>
      <w:r>
        <w:rPr>
          <w:sz w:val="28"/>
          <w:szCs w:val="28"/>
        </w:rPr>
        <w:t>логій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автономного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Зокрема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Ford EV (</w:t>
      </w:r>
      <w:proofErr w:type="spellStart"/>
      <w:r>
        <w:rPr>
          <w:sz w:val="28"/>
          <w:szCs w:val="28"/>
        </w:rPr>
        <w:t>електромобілі</w:t>
      </w:r>
      <w:proofErr w:type="spellEnd"/>
      <w:r>
        <w:rPr>
          <w:sz w:val="28"/>
          <w:szCs w:val="28"/>
        </w:rPr>
        <w:t xml:space="preserve">) є </w:t>
      </w:r>
      <w:proofErr w:type="spellStart"/>
      <w:r>
        <w:rPr>
          <w:sz w:val="28"/>
          <w:szCs w:val="28"/>
        </w:rPr>
        <w:t>стратегічним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електрокарів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інфраструктури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обслуговування</w:t>
      </w:r>
      <w:proofErr w:type="spellEnd"/>
      <w:r>
        <w:rPr>
          <w:sz w:val="28"/>
          <w:szCs w:val="28"/>
        </w:rPr>
        <w:t xml:space="preserve">. Ford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автономного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водіння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співпрацюючи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технологічними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безпілотних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автомобілів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Окрім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того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компанія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впроваджує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трансформацію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ініціативи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de-DE"/>
        </w:rPr>
        <w:t>FordPass</w:t>
      </w:r>
      <w:proofErr w:type="spellEnd"/>
      <w:r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смартфона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власникам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</w:t>
      </w:r>
      <w:r>
        <w:rPr>
          <w:sz w:val="28"/>
          <w:szCs w:val="28"/>
        </w:rPr>
        <w:t>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автомобіля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планувати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поїздки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шукати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зарядні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станції</w:t>
      </w:r>
      <w:proofErr w:type="spellEnd"/>
      <w:r>
        <w:rPr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2.4. </w:t>
      </w:r>
      <w:r>
        <w:rPr>
          <w:rFonts w:ascii="Times New Roman" w:hAnsi="Times New Roman"/>
          <w:b/>
          <w:bCs/>
          <w:sz w:val="28"/>
          <w:szCs w:val="28"/>
        </w:rPr>
        <w:t xml:space="preserve">Організаційна структура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Ford</w:t>
      </w:r>
      <w:proofErr w:type="spellEnd"/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Ключові підрозділи та їхні функції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Виробничий підрозділ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Відповідає за виробництво автомобілів та компонентів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Забезпечує якість продукції та ефективність виробничих процесів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Підрозділ досліджень і розробок </w:t>
      </w:r>
      <w:r>
        <w:rPr>
          <w:rFonts w:ascii="Times New Roman" w:hAnsi="Times New Roman"/>
          <w:b/>
          <w:bCs/>
          <w:sz w:val="28"/>
          <w:szCs w:val="28"/>
        </w:rPr>
        <w:t>(R&amp;D):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Займається інноваціями та розробкою нових технологій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Проводить тестування та вдосконалення існуючих моделей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Маркетинговий підрозділ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Розробляє та реал</w:t>
      </w:r>
      <w:r>
        <w:rPr>
          <w:rFonts w:ascii="Times New Roman" w:hAnsi="Times New Roman"/>
          <w:sz w:val="28"/>
          <w:szCs w:val="28"/>
        </w:rPr>
        <w:t>ізує маркетингові стратегії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Відповідає за рекламу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просування та аналіз ринку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Фінансовий підрозділ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Управляє фінансовими ресурсами компанії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Відповідає за бюджетування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звітність та фінансовий аналіз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Підрозділ людських ресурсів </w:t>
      </w:r>
      <w:r>
        <w:rPr>
          <w:rFonts w:ascii="Times New Roman" w:hAnsi="Times New Roman"/>
          <w:b/>
          <w:bCs/>
          <w:sz w:val="28"/>
          <w:szCs w:val="28"/>
        </w:rPr>
        <w:t>(HR):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Займається підбором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навчанням та розвитком персоналу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Відповідає за підтримку корпоративної культури та мотивацію працівників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Підрозділ інформаційних технологій </w:t>
      </w:r>
      <w:r>
        <w:rPr>
          <w:rFonts w:ascii="Times New Roman" w:hAnsi="Times New Roman"/>
          <w:b/>
          <w:bCs/>
          <w:sz w:val="28"/>
          <w:szCs w:val="28"/>
        </w:rPr>
        <w:t>(IT):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Забезпечує функціонування </w:t>
      </w:r>
      <w:r>
        <w:rPr>
          <w:rFonts w:ascii="Times New Roman" w:hAnsi="Times New Roman"/>
          <w:sz w:val="28"/>
          <w:szCs w:val="28"/>
        </w:rPr>
        <w:t>IT-</w:t>
      </w:r>
      <w:r>
        <w:rPr>
          <w:rFonts w:ascii="Times New Roman" w:hAnsi="Times New Roman"/>
          <w:sz w:val="28"/>
          <w:szCs w:val="28"/>
        </w:rPr>
        <w:t>інфраструктури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1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Підтримує та розробляє програмне забезпечення для </w:t>
      </w:r>
      <w:r>
        <w:rPr>
          <w:rFonts w:ascii="Times New Roman" w:hAnsi="Times New Roman"/>
          <w:sz w:val="28"/>
          <w:szCs w:val="28"/>
        </w:rPr>
        <w:t>внутрішніх потреб компанії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Загальна кількість працівників і рівень керівництва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2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Загальна кількість працівників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Станом на </w:t>
      </w:r>
      <w:r>
        <w:rPr>
          <w:rFonts w:ascii="Times New Roman" w:hAnsi="Times New Roman"/>
          <w:sz w:val="28"/>
          <w:szCs w:val="28"/>
        </w:rPr>
        <w:t xml:space="preserve">2023 </w:t>
      </w:r>
      <w:r>
        <w:rPr>
          <w:rFonts w:ascii="Times New Roman" w:hAnsi="Times New Roman"/>
          <w:sz w:val="28"/>
          <w:szCs w:val="28"/>
        </w:rPr>
        <w:t>рік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працює приблизно </w:t>
      </w:r>
      <w:r>
        <w:rPr>
          <w:rFonts w:ascii="Times New Roman" w:hAnsi="Times New Roman"/>
          <w:sz w:val="28"/>
          <w:szCs w:val="28"/>
          <w:lang w:val="en-US"/>
        </w:rPr>
        <w:t xml:space="preserve">183,000 </w:t>
      </w:r>
      <w:r>
        <w:rPr>
          <w:rFonts w:ascii="Times New Roman" w:hAnsi="Times New Roman"/>
          <w:sz w:val="28"/>
          <w:szCs w:val="28"/>
        </w:rPr>
        <w:t>осіб по всьому світу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2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Рівень керівництва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Компанія має традиційну корпоративну ієрархію з чітко визначеними рівнями керівництва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включаючи виконавчий комітет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регіональні керівники та керівники функціональних підрозділів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Культура компанії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місія та цінності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22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Місія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прагне створювати автомоб</w:t>
      </w:r>
      <w:r>
        <w:rPr>
          <w:rFonts w:ascii="Times New Roman" w:hAnsi="Times New Roman"/>
          <w:sz w:val="28"/>
          <w:szCs w:val="28"/>
        </w:rPr>
        <w:t>ілі та послуги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 покращують життя людей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роблячи їх безпечнішими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зручнішими та екологічно чистішими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22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Цінності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Компанія підтримує цінності інновацій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якості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безпеки та сталого розвитку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22"/>
        </w:numPr>
        <w:spacing w:before="100" w:after="10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Культура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культивує культуру співпраці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інклюзивності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постійного вдосконалення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сприяє розвитку талантів та інновацій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2.5.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Маркетинговий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огляд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Ford</w:t>
      </w:r>
      <w:proofErr w:type="spellEnd"/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ринку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 xml:space="preserve">Ford Motor Company </w:t>
      </w:r>
      <w:r>
        <w:rPr>
          <w:rFonts w:ascii="Times New Roman" w:hAnsi="Times New Roman"/>
          <w:sz w:val="28"/>
          <w:szCs w:val="28"/>
        </w:rPr>
        <w:t>діє на глобальному автомобільному ринку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який оцінюється в трильйони доларів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Основні конкуренти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включают</w:t>
      </w:r>
      <w:r>
        <w:rPr>
          <w:rFonts w:ascii="Times New Roman" w:hAnsi="Times New Roman"/>
          <w:sz w:val="28"/>
          <w:szCs w:val="28"/>
        </w:rPr>
        <w:t>ь такі компанії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 </w:t>
      </w:r>
      <w:r>
        <w:rPr>
          <w:rFonts w:ascii="Times New Roman" w:hAnsi="Times New Roman"/>
          <w:sz w:val="28"/>
          <w:szCs w:val="28"/>
          <w:lang w:val="de-DE"/>
        </w:rPr>
        <w:t xml:space="preserve">Toyota, General Motors, Volkswagen, Honda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</w:rPr>
        <w:t>Tesla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Цей ринок характеризується високою конкуренцією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швидкими технологічними змінами та зростаючим попитом на екологічно чисті транспортні засоби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Основні продукти та послуги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24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Легкові авто</w:t>
      </w:r>
      <w:r>
        <w:rPr>
          <w:rFonts w:ascii="Times New Roman" w:hAnsi="Times New Roman"/>
          <w:b/>
          <w:bCs/>
          <w:sz w:val="28"/>
          <w:szCs w:val="28"/>
        </w:rPr>
        <w:t>мобілі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2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пропонує широкий асортимент легкових автомобілів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включаючи моделі </w:t>
      </w:r>
      <w:r>
        <w:rPr>
          <w:rFonts w:ascii="Times New Roman" w:hAnsi="Times New Roman"/>
          <w:sz w:val="28"/>
          <w:szCs w:val="28"/>
          <w:lang w:val="en-US"/>
        </w:rPr>
        <w:t xml:space="preserve">Mustang, Focus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it-IT"/>
        </w:rPr>
        <w:t>Fusion.</w:t>
      </w:r>
    </w:p>
    <w:p w:rsidR="00C217D2" w:rsidRDefault="00133411">
      <w:pPr>
        <w:numPr>
          <w:ilvl w:val="0"/>
          <w:numId w:val="24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Позашляховики та кросовери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2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Популярні моделі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такі як </w:t>
      </w:r>
      <w:r>
        <w:rPr>
          <w:rFonts w:ascii="Times New Roman" w:hAnsi="Times New Roman"/>
          <w:sz w:val="28"/>
          <w:szCs w:val="28"/>
          <w:lang w:val="pt-PT"/>
        </w:rPr>
        <w:t xml:space="preserve">Ford Explorer, Escape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pt-PT"/>
        </w:rPr>
        <w:t xml:space="preserve">Bronco, </w:t>
      </w:r>
      <w:r>
        <w:rPr>
          <w:rFonts w:ascii="Times New Roman" w:hAnsi="Times New Roman"/>
          <w:sz w:val="28"/>
          <w:szCs w:val="28"/>
        </w:rPr>
        <w:t>задовольняють потреби різних сегментів ринку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24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Вантажівки та комерційні автомобілі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2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Серія </w:t>
      </w:r>
      <w:r>
        <w:rPr>
          <w:rFonts w:ascii="Times New Roman" w:hAnsi="Times New Roman"/>
          <w:sz w:val="28"/>
          <w:szCs w:val="28"/>
          <w:lang w:val="fr-FR"/>
        </w:rPr>
        <w:t xml:space="preserve">Ford F-150 </w:t>
      </w:r>
      <w:r>
        <w:rPr>
          <w:rFonts w:ascii="Times New Roman" w:hAnsi="Times New Roman"/>
          <w:sz w:val="28"/>
          <w:szCs w:val="28"/>
        </w:rPr>
        <w:t>є однією з найпопулярніших вантажівок у світі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Компанія також пропонує комерційні автомобілі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такі як </w:t>
      </w:r>
      <w:r>
        <w:rPr>
          <w:rFonts w:ascii="Times New Roman" w:hAnsi="Times New Roman"/>
          <w:sz w:val="28"/>
          <w:szCs w:val="28"/>
          <w:lang w:val="it-IT"/>
        </w:rPr>
        <w:t>Ford Transit.</w:t>
      </w:r>
    </w:p>
    <w:p w:rsidR="00C217D2" w:rsidRDefault="00133411">
      <w:pPr>
        <w:numPr>
          <w:ilvl w:val="0"/>
          <w:numId w:val="24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Електромобілі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26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активно розвиває лінійку електромобілів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включаючи моделі </w:t>
      </w:r>
      <w:r>
        <w:rPr>
          <w:rFonts w:ascii="Times New Roman" w:hAnsi="Times New Roman"/>
          <w:sz w:val="28"/>
          <w:szCs w:val="28"/>
          <w:lang w:val="de-DE"/>
        </w:rPr>
        <w:t xml:space="preserve">Mustang Mach-E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</w:rPr>
        <w:t xml:space="preserve">F-150 </w:t>
      </w:r>
      <w:proofErr w:type="spellStart"/>
      <w:r>
        <w:rPr>
          <w:rFonts w:ascii="Times New Roman" w:hAnsi="Times New Roman"/>
          <w:sz w:val="28"/>
          <w:szCs w:val="28"/>
        </w:rPr>
        <w:t>Lightning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Стратегії розподілу та комунікації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0"/>
          <w:numId w:val="2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Розподіл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3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використовує глобальну мережу дилерів для продажу своїх автомобілів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Компанія також активно розвиває онлайн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продажі та пропонує клієнтам </w:t>
      </w:r>
      <w:r>
        <w:rPr>
          <w:rFonts w:ascii="Times New Roman" w:hAnsi="Times New Roman"/>
          <w:sz w:val="28"/>
          <w:szCs w:val="28"/>
        </w:rPr>
        <w:t>можливість замовлення автомобілів через інтернет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0"/>
          <w:numId w:val="28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Комунікація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217D2" w:rsidRDefault="00133411">
      <w:pPr>
        <w:numPr>
          <w:ilvl w:val="1"/>
          <w:numId w:val="3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Реклама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інвестує значні кошти в рекламні кампанії на телебаченні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інтернеті та соціальних мережах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30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Публічні зв’язки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Компанія активно співпрацює з медіа та організовує заходи для підвищ</w:t>
      </w:r>
      <w:r>
        <w:rPr>
          <w:rFonts w:ascii="Times New Roman" w:hAnsi="Times New Roman"/>
          <w:sz w:val="28"/>
          <w:szCs w:val="28"/>
        </w:rPr>
        <w:t>ення обізнаності про свої продукти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numPr>
          <w:ilvl w:val="1"/>
          <w:numId w:val="30"/>
        </w:numPr>
        <w:spacing w:before="100" w:after="10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Спонсорство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підтримує різні спортивні та культурні заходи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допомагає зміцнити бренд і залучити нових клієнтів</w:t>
      </w:r>
      <w:r>
        <w:rPr>
          <w:rFonts w:ascii="Times New Roman" w:hAnsi="Times New Roman"/>
          <w:sz w:val="28"/>
          <w:szCs w:val="28"/>
        </w:rPr>
        <w:t>.</w:t>
      </w:r>
    </w:p>
    <w:p w:rsidR="00C217D2" w:rsidRDefault="00133411">
      <w:pPr>
        <w:spacing w:before="100" w:after="10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також приділяє велику увагу зворотному зв’язку від клієнтів та постійно вдосконалює свої продук</w:t>
      </w:r>
      <w:r>
        <w:rPr>
          <w:rFonts w:ascii="Times New Roman" w:hAnsi="Times New Roman"/>
          <w:sz w:val="28"/>
          <w:szCs w:val="28"/>
        </w:rPr>
        <w:t>ти та послуги на основі отриманих даних</w:t>
      </w:r>
      <w:r>
        <w:rPr>
          <w:rFonts w:ascii="Times New Roman" w:hAnsi="Times New Roman"/>
          <w:sz w:val="28"/>
          <w:szCs w:val="28"/>
        </w:rPr>
        <w:t>.</w:t>
      </w:r>
    </w:p>
    <w:p w:rsidR="001E50FF" w:rsidRDefault="001E50FF">
      <w:pPr>
        <w:spacing w:before="100" w:after="100" w:line="240" w:lineRule="auto"/>
      </w:pPr>
    </w:p>
    <w:sectPr w:rsidR="001E50FF">
      <w:headerReference w:type="default" r:id="rId8"/>
      <w:footerReference w:type="default" r:id="rId9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3411" w:rsidRDefault="00133411">
      <w:pPr>
        <w:spacing w:after="0" w:line="240" w:lineRule="auto"/>
      </w:pPr>
      <w:r>
        <w:separator/>
      </w:r>
    </w:p>
  </w:endnote>
  <w:endnote w:type="continuationSeparator" w:id="0">
    <w:p w:rsidR="00133411" w:rsidRDefault="0013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17D2" w:rsidRDefault="00C217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3411" w:rsidRDefault="00133411">
      <w:pPr>
        <w:spacing w:after="0" w:line="240" w:lineRule="auto"/>
      </w:pPr>
      <w:r>
        <w:separator/>
      </w:r>
    </w:p>
  </w:footnote>
  <w:footnote w:type="continuationSeparator" w:id="0">
    <w:p w:rsidR="00133411" w:rsidRDefault="00133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17D2" w:rsidRDefault="00C217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7F7"/>
    <w:multiLevelType w:val="hybridMultilevel"/>
    <w:tmpl w:val="09B478BC"/>
    <w:styleLink w:val="3"/>
    <w:lvl w:ilvl="0" w:tplc="49A257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A1281854">
      <w:start w:val="1"/>
      <w:numFmt w:val="bullet"/>
      <w:lvlText w:val="o"/>
      <w:lvlJc w:val="left"/>
      <w:pPr>
        <w:tabs>
          <w:tab w:val="left" w:pos="720"/>
        </w:tabs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BD003640">
      <w:start w:val="1"/>
      <w:numFmt w:val="bullet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A65A784E">
      <w:start w:val="1"/>
      <w:numFmt w:val="bullet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AB24319C">
      <w:start w:val="1"/>
      <w:numFmt w:val="bullet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A94665EE">
      <w:start w:val="1"/>
      <w:numFmt w:val="bullet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F4B21C24">
      <w:start w:val="1"/>
      <w:numFmt w:val="bullet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FEA462EA">
      <w:start w:val="1"/>
      <w:numFmt w:val="bullet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394ED4F2">
      <w:start w:val="1"/>
      <w:numFmt w:val="bullet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" w15:restartNumberingAfterBreak="0">
    <w:nsid w:val="0EAD4677"/>
    <w:multiLevelType w:val="hybridMultilevel"/>
    <w:tmpl w:val="729A0BCC"/>
    <w:numStyleLink w:val="7"/>
  </w:abstractNum>
  <w:abstractNum w:abstractNumId="2" w15:restartNumberingAfterBreak="0">
    <w:nsid w:val="0FCA7D26"/>
    <w:multiLevelType w:val="hybridMultilevel"/>
    <w:tmpl w:val="C91CE89C"/>
    <w:styleLink w:val="8"/>
    <w:lvl w:ilvl="0" w:tplc="3A0E9C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EEE0A994">
      <w:start w:val="1"/>
      <w:numFmt w:val="bullet"/>
      <w:lvlText w:val="o"/>
      <w:lvlJc w:val="left"/>
      <w:pPr>
        <w:tabs>
          <w:tab w:val="left" w:pos="720"/>
        </w:tabs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159C8786">
      <w:start w:val="1"/>
      <w:numFmt w:val="bullet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85189012">
      <w:start w:val="1"/>
      <w:numFmt w:val="bullet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A8A44DC6">
      <w:start w:val="1"/>
      <w:numFmt w:val="bullet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10EA68E4">
      <w:start w:val="1"/>
      <w:numFmt w:val="bullet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7C0A19E6">
      <w:start w:val="1"/>
      <w:numFmt w:val="bullet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FB86E172">
      <w:start w:val="1"/>
      <w:numFmt w:val="bullet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8F9A8748">
      <w:start w:val="1"/>
      <w:numFmt w:val="bullet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3" w15:restartNumberingAfterBreak="0">
    <w:nsid w:val="120D2954"/>
    <w:multiLevelType w:val="hybridMultilevel"/>
    <w:tmpl w:val="BB5EB620"/>
    <w:numStyleLink w:val="11"/>
  </w:abstractNum>
  <w:abstractNum w:abstractNumId="4" w15:restartNumberingAfterBreak="0">
    <w:nsid w:val="15D41658"/>
    <w:multiLevelType w:val="hybridMultilevel"/>
    <w:tmpl w:val="BE38D9C8"/>
    <w:styleLink w:val="2"/>
    <w:lvl w:ilvl="0" w:tplc="7C289C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E07EE39A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3B2C7F8E">
      <w:start w:val="1"/>
      <w:numFmt w:val="decimal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CF68754E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AA528C66">
      <w:start w:val="1"/>
      <w:numFmt w:val="decimal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99BE7508">
      <w:start w:val="1"/>
      <w:numFmt w:val="decimal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586A2F2E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69FA2D30">
      <w:start w:val="1"/>
      <w:numFmt w:val="decimal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10B2C496">
      <w:start w:val="1"/>
      <w:numFmt w:val="decimal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5" w15:restartNumberingAfterBreak="0">
    <w:nsid w:val="173F75E3"/>
    <w:multiLevelType w:val="hybridMultilevel"/>
    <w:tmpl w:val="BB5EB620"/>
    <w:styleLink w:val="11"/>
    <w:lvl w:ilvl="0" w:tplc="585E74E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E520E">
      <w:start w:val="1"/>
      <w:numFmt w:val="decimal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487D76">
      <w:start w:val="1"/>
      <w:numFmt w:val="decimal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2EDCF8">
      <w:start w:val="1"/>
      <w:numFmt w:val="decimal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AA1DEA">
      <w:start w:val="1"/>
      <w:numFmt w:val="decimal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D4997C">
      <w:start w:val="1"/>
      <w:numFmt w:val="decimal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D809F4">
      <w:start w:val="1"/>
      <w:numFmt w:val="decimal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F6FEB6">
      <w:start w:val="1"/>
      <w:numFmt w:val="decimal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FC1E4E">
      <w:start w:val="1"/>
      <w:numFmt w:val="decimal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CA58C3"/>
    <w:multiLevelType w:val="hybridMultilevel"/>
    <w:tmpl w:val="D566461A"/>
    <w:styleLink w:val="5"/>
    <w:lvl w:ilvl="0" w:tplc="A7CE10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5E780E">
      <w:start w:val="1"/>
      <w:numFmt w:val="decimal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24DDB4">
      <w:start w:val="1"/>
      <w:numFmt w:val="decimal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69E46">
      <w:start w:val="1"/>
      <w:numFmt w:val="decimal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226F1C">
      <w:start w:val="1"/>
      <w:numFmt w:val="decimal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C5C1C">
      <w:start w:val="1"/>
      <w:numFmt w:val="decimal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80402">
      <w:start w:val="1"/>
      <w:numFmt w:val="decimal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E84D6">
      <w:start w:val="1"/>
      <w:numFmt w:val="decimal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9C84C4">
      <w:start w:val="1"/>
      <w:numFmt w:val="decimal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2A7AB2"/>
    <w:multiLevelType w:val="hybridMultilevel"/>
    <w:tmpl w:val="BE38D9C8"/>
    <w:numStyleLink w:val="2"/>
  </w:abstractNum>
  <w:abstractNum w:abstractNumId="8" w15:restartNumberingAfterBreak="0">
    <w:nsid w:val="2879554C"/>
    <w:multiLevelType w:val="hybridMultilevel"/>
    <w:tmpl w:val="1A2687EC"/>
    <w:numStyleLink w:val="40"/>
  </w:abstractNum>
  <w:abstractNum w:abstractNumId="9" w15:restartNumberingAfterBreak="0">
    <w:nsid w:val="30A02DF6"/>
    <w:multiLevelType w:val="hybridMultilevel"/>
    <w:tmpl w:val="09B478BC"/>
    <w:numStyleLink w:val="3"/>
  </w:abstractNum>
  <w:abstractNum w:abstractNumId="10" w15:restartNumberingAfterBreak="0">
    <w:nsid w:val="30D5059B"/>
    <w:multiLevelType w:val="hybridMultilevel"/>
    <w:tmpl w:val="729A0BCC"/>
    <w:styleLink w:val="7"/>
    <w:lvl w:ilvl="0" w:tplc="DD4418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9A52B6">
      <w:start w:val="1"/>
      <w:numFmt w:val="decimal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88258A">
      <w:start w:val="1"/>
      <w:numFmt w:val="decimal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DE12B4">
      <w:start w:val="1"/>
      <w:numFmt w:val="decimal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B278FA">
      <w:start w:val="1"/>
      <w:numFmt w:val="decimal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86A04A">
      <w:start w:val="1"/>
      <w:numFmt w:val="decimal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AEABCA">
      <w:start w:val="1"/>
      <w:numFmt w:val="decimal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DA3794">
      <w:start w:val="1"/>
      <w:numFmt w:val="decimal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1A5CA4">
      <w:start w:val="1"/>
      <w:numFmt w:val="decimal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0FA1EF7"/>
    <w:multiLevelType w:val="hybridMultilevel"/>
    <w:tmpl w:val="C91CE89C"/>
    <w:numStyleLink w:val="8"/>
  </w:abstractNum>
  <w:abstractNum w:abstractNumId="12" w15:restartNumberingAfterBreak="0">
    <w:nsid w:val="35E3082F"/>
    <w:multiLevelType w:val="hybridMultilevel"/>
    <w:tmpl w:val="8A3CBDDA"/>
    <w:numStyleLink w:val="9"/>
  </w:abstractNum>
  <w:abstractNum w:abstractNumId="13" w15:restartNumberingAfterBreak="0">
    <w:nsid w:val="39617206"/>
    <w:multiLevelType w:val="hybridMultilevel"/>
    <w:tmpl w:val="23F49450"/>
    <w:numStyleLink w:val="70"/>
  </w:abstractNum>
  <w:abstractNum w:abstractNumId="14" w15:restartNumberingAfterBreak="0">
    <w:nsid w:val="3C1419C5"/>
    <w:multiLevelType w:val="hybridMultilevel"/>
    <w:tmpl w:val="8A3CBDDA"/>
    <w:styleLink w:val="9"/>
    <w:lvl w:ilvl="0" w:tplc="F5B0EB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E5D83C26">
      <w:start w:val="1"/>
      <w:numFmt w:val="bullet"/>
      <w:lvlText w:val="o"/>
      <w:lvlJc w:val="left"/>
      <w:pPr>
        <w:tabs>
          <w:tab w:val="left" w:pos="720"/>
        </w:tabs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C794362A">
      <w:start w:val="1"/>
      <w:numFmt w:val="bullet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59E6201E">
      <w:start w:val="1"/>
      <w:numFmt w:val="bullet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A6DEFBFA">
      <w:start w:val="1"/>
      <w:numFmt w:val="bullet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4F6A1B46">
      <w:start w:val="1"/>
      <w:numFmt w:val="bullet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CA0CB374">
      <w:start w:val="1"/>
      <w:numFmt w:val="bullet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21A2BE4C">
      <w:start w:val="1"/>
      <w:numFmt w:val="bullet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199494D0">
      <w:start w:val="1"/>
      <w:numFmt w:val="bullet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5" w15:restartNumberingAfterBreak="0">
    <w:nsid w:val="3E8E1D73"/>
    <w:multiLevelType w:val="hybridMultilevel"/>
    <w:tmpl w:val="1DAEF23A"/>
    <w:styleLink w:val="6"/>
    <w:lvl w:ilvl="0" w:tplc="210E5F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D92E7B80">
      <w:start w:val="1"/>
      <w:numFmt w:val="bullet"/>
      <w:lvlText w:val="o"/>
      <w:lvlJc w:val="left"/>
      <w:pPr>
        <w:tabs>
          <w:tab w:val="left" w:pos="720"/>
        </w:tabs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6868B344">
      <w:start w:val="1"/>
      <w:numFmt w:val="bullet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CBFAF5B6">
      <w:start w:val="1"/>
      <w:numFmt w:val="bullet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D2CC9358">
      <w:start w:val="1"/>
      <w:numFmt w:val="bullet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FF5AC942">
      <w:start w:val="1"/>
      <w:numFmt w:val="bullet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761ED99A">
      <w:start w:val="1"/>
      <w:numFmt w:val="bullet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68C01158">
      <w:start w:val="1"/>
      <w:numFmt w:val="bullet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D2BE6EB8">
      <w:start w:val="1"/>
      <w:numFmt w:val="bullet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6" w15:restartNumberingAfterBreak="0">
    <w:nsid w:val="3EB86765"/>
    <w:multiLevelType w:val="hybridMultilevel"/>
    <w:tmpl w:val="9CAE30B0"/>
    <w:styleLink w:val="4"/>
    <w:lvl w:ilvl="0" w:tplc="584AAA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F0B294">
      <w:start w:val="1"/>
      <w:numFmt w:val="decimal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3CC70C">
      <w:start w:val="1"/>
      <w:numFmt w:val="decimal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18FA70">
      <w:start w:val="1"/>
      <w:numFmt w:val="decimal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B454C0">
      <w:start w:val="1"/>
      <w:numFmt w:val="decimal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2852A">
      <w:start w:val="1"/>
      <w:numFmt w:val="decimal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3A5F00">
      <w:start w:val="1"/>
      <w:numFmt w:val="decimal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14968C">
      <w:start w:val="1"/>
      <w:numFmt w:val="decimal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ECAAC8">
      <w:start w:val="1"/>
      <w:numFmt w:val="decimal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2D34CFC"/>
    <w:multiLevelType w:val="hybridMultilevel"/>
    <w:tmpl w:val="23F49450"/>
    <w:styleLink w:val="70"/>
    <w:lvl w:ilvl="0" w:tplc="6C02F534">
      <w:start w:val="1"/>
      <w:numFmt w:val="bullet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 w:tplc="80DA97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C09E03C8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6AFCBD8C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5798ED2A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F8380452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26CCBF68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3502A72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D9809882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8" w15:restartNumberingAfterBreak="0">
    <w:nsid w:val="45033AC1"/>
    <w:multiLevelType w:val="hybridMultilevel"/>
    <w:tmpl w:val="087E23E6"/>
    <w:numStyleLink w:val="10"/>
  </w:abstractNum>
  <w:abstractNum w:abstractNumId="19" w15:restartNumberingAfterBreak="0">
    <w:nsid w:val="45836494"/>
    <w:multiLevelType w:val="hybridMultilevel"/>
    <w:tmpl w:val="9A7E4E1C"/>
    <w:styleLink w:val="1"/>
    <w:lvl w:ilvl="0" w:tplc="D646E3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FA1454AE">
      <w:start w:val="1"/>
      <w:numFmt w:val="bullet"/>
      <w:lvlText w:val="o"/>
      <w:lvlJc w:val="left"/>
      <w:pPr>
        <w:tabs>
          <w:tab w:val="left" w:pos="720"/>
        </w:tabs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320A2498">
      <w:start w:val="1"/>
      <w:numFmt w:val="bullet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28D0FFA6">
      <w:start w:val="1"/>
      <w:numFmt w:val="bullet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1D2A20D4">
      <w:start w:val="1"/>
      <w:numFmt w:val="bullet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DE1ED90A">
      <w:start w:val="1"/>
      <w:numFmt w:val="bullet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12440A44">
      <w:start w:val="1"/>
      <w:numFmt w:val="bullet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19F64B9E">
      <w:start w:val="1"/>
      <w:numFmt w:val="bullet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4210C7C4">
      <w:start w:val="1"/>
      <w:numFmt w:val="bullet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0" w15:restartNumberingAfterBreak="0">
    <w:nsid w:val="4B7D3E0D"/>
    <w:multiLevelType w:val="hybridMultilevel"/>
    <w:tmpl w:val="62D26956"/>
    <w:numStyleLink w:val="100"/>
  </w:abstractNum>
  <w:abstractNum w:abstractNumId="21" w15:restartNumberingAfterBreak="0">
    <w:nsid w:val="4BD26CF4"/>
    <w:multiLevelType w:val="hybridMultilevel"/>
    <w:tmpl w:val="1A2687EC"/>
    <w:styleLink w:val="40"/>
    <w:lvl w:ilvl="0" w:tplc="DC6A8084">
      <w:start w:val="1"/>
      <w:numFmt w:val="bullet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 w:tplc="B0542B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563EFC0C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20EA1A5E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CDBA15A4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A496B8D2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D6A05B96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1098E4FC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3DBA98F2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2" w15:restartNumberingAfterBreak="0">
    <w:nsid w:val="608F1659"/>
    <w:multiLevelType w:val="hybridMultilevel"/>
    <w:tmpl w:val="087E23E6"/>
    <w:styleLink w:val="10"/>
    <w:lvl w:ilvl="0" w:tplc="78B671F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7C90BA">
      <w:start w:val="1"/>
      <w:numFmt w:val="decimal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CA0D9A">
      <w:start w:val="1"/>
      <w:numFmt w:val="decimal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6C36C6">
      <w:start w:val="1"/>
      <w:numFmt w:val="decimal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FA1B74">
      <w:start w:val="1"/>
      <w:numFmt w:val="decimal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681BA0">
      <w:start w:val="1"/>
      <w:numFmt w:val="decimal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6E45DC">
      <w:start w:val="1"/>
      <w:numFmt w:val="decimal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0D3E6">
      <w:start w:val="1"/>
      <w:numFmt w:val="decimal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DE6178">
      <w:start w:val="1"/>
      <w:numFmt w:val="decimal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692341A"/>
    <w:multiLevelType w:val="hybridMultilevel"/>
    <w:tmpl w:val="0FFE012E"/>
    <w:styleLink w:val="110"/>
    <w:lvl w:ilvl="0" w:tplc="B36CD7A6">
      <w:start w:val="1"/>
      <w:numFmt w:val="bullet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 w:tplc="8FBA43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0BC85E78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A9A49D0A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0E8C663A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2FF6550A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D60E5C3A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E12B002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BD84E012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4" w15:restartNumberingAfterBreak="0">
    <w:nsid w:val="66D70AA9"/>
    <w:multiLevelType w:val="hybridMultilevel"/>
    <w:tmpl w:val="62D26956"/>
    <w:styleLink w:val="100"/>
    <w:lvl w:ilvl="0" w:tplc="7D6AEEAC">
      <w:start w:val="1"/>
      <w:numFmt w:val="bullet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 w:tplc="EB5838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2D14A7CC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C8E23E4C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533CABD0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C222459E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2AB2529E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EED87612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24369672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5" w15:restartNumberingAfterBreak="0">
    <w:nsid w:val="6ADE1B11"/>
    <w:multiLevelType w:val="hybridMultilevel"/>
    <w:tmpl w:val="1DAEF23A"/>
    <w:numStyleLink w:val="6"/>
  </w:abstractNum>
  <w:abstractNum w:abstractNumId="26" w15:restartNumberingAfterBreak="0">
    <w:nsid w:val="6DB51A9E"/>
    <w:multiLevelType w:val="hybridMultilevel"/>
    <w:tmpl w:val="9A7E4E1C"/>
    <w:numStyleLink w:val="1"/>
  </w:abstractNum>
  <w:abstractNum w:abstractNumId="27" w15:restartNumberingAfterBreak="0">
    <w:nsid w:val="70AD59DB"/>
    <w:multiLevelType w:val="hybridMultilevel"/>
    <w:tmpl w:val="0FFE012E"/>
    <w:numStyleLink w:val="110"/>
  </w:abstractNum>
  <w:abstractNum w:abstractNumId="28" w15:restartNumberingAfterBreak="0">
    <w:nsid w:val="73FE2326"/>
    <w:multiLevelType w:val="hybridMultilevel"/>
    <w:tmpl w:val="D566461A"/>
    <w:numStyleLink w:val="5"/>
  </w:abstractNum>
  <w:abstractNum w:abstractNumId="29" w15:restartNumberingAfterBreak="0">
    <w:nsid w:val="7AC405B4"/>
    <w:multiLevelType w:val="hybridMultilevel"/>
    <w:tmpl w:val="9CAE30B0"/>
    <w:numStyleLink w:val="4"/>
  </w:abstractNum>
  <w:num w:numId="1">
    <w:abstractNumId w:val="19"/>
  </w:num>
  <w:num w:numId="2">
    <w:abstractNumId w:val="26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6"/>
  </w:num>
  <w:num w:numId="8">
    <w:abstractNumId w:val="29"/>
  </w:num>
  <w:num w:numId="9">
    <w:abstractNumId w:val="21"/>
  </w:num>
  <w:num w:numId="10">
    <w:abstractNumId w:val="8"/>
  </w:num>
  <w:num w:numId="11">
    <w:abstractNumId w:val="6"/>
  </w:num>
  <w:num w:numId="12">
    <w:abstractNumId w:val="28"/>
  </w:num>
  <w:num w:numId="13">
    <w:abstractNumId w:val="15"/>
  </w:num>
  <w:num w:numId="14">
    <w:abstractNumId w:val="25"/>
  </w:num>
  <w:num w:numId="15">
    <w:abstractNumId w:val="10"/>
  </w:num>
  <w:num w:numId="16">
    <w:abstractNumId w:val="1"/>
  </w:num>
  <w:num w:numId="17">
    <w:abstractNumId w:val="17"/>
  </w:num>
  <w:num w:numId="18">
    <w:abstractNumId w:val="13"/>
  </w:num>
  <w:num w:numId="19">
    <w:abstractNumId w:val="2"/>
  </w:num>
  <w:num w:numId="20">
    <w:abstractNumId w:val="11"/>
  </w:num>
  <w:num w:numId="21">
    <w:abstractNumId w:val="14"/>
  </w:num>
  <w:num w:numId="22">
    <w:abstractNumId w:val="12"/>
  </w:num>
  <w:num w:numId="23">
    <w:abstractNumId w:val="22"/>
  </w:num>
  <w:num w:numId="24">
    <w:abstractNumId w:val="18"/>
  </w:num>
  <w:num w:numId="25">
    <w:abstractNumId w:val="24"/>
  </w:num>
  <w:num w:numId="26">
    <w:abstractNumId w:val="20"/>
  </w:num>
  <w:num w:numId="27">
    <w:abstractNumId w:val="5"/>
  </w:num>
  <w:num w:numId="28">
    <w:abstractNumId w:val="3"/>
  </w:num>
  <w:num w:numId="29">
    <w:abstractNumId w:val="2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7D2"/>
    <w:rsid w:val="00133411"/>
    <w:rsid w:val="001E50FF"/>
    <w:rsid w:val="00C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DD0D"/>
  <w15:docId w15:val="{A65F57AE-7616-45D5-A9AA-1137B977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0">
    <w:name w:val="heading 3"/>
    <w:uiPriority w:val="9"/>
    <w:unhideWhenUsed/>
    <w:qFormat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1">
    <w:name w:val="heading 4"/>
    <w:next w:val="a"/>
    <w:uiPriority w:val="9"/>
    <w:unhideWhenUsed/>
    <w:qFormat/>
    <w:pPr>
      <w:keepNext/>
      <w:keepLines/>
      <w:spacing w:before="40" w:line="259" w:lineRule="auto"/>
      <w:outlineLvl w:val="3"/>
    </w:pPr>
    <w:rPr>
      <w:rFonts w:ascii="Calibri Light" w:hAnsi="Calibri Light" w:cs="Arial Unicode MS"/>
      <w:i/>
      <w:iCs/>
      <w:color w:val="2F5496"/>
      <w:sz w:val="22"/>
      <w:szCs w:val="22"/>
      <w:u w:color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Типовий A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1">
    <w:name w:val="Імпортований стиль 1"/>
    <w:pPr>
      <w:numPr>
        <w:numId w:val="1"/>
      </w:numPr>
    </w:pPr>
  </w:style>
  <w:style w:type="numbering" w:customStyle="1" w:styleId="2">
    <w:name w:val="Імпортований стиль 2"/>
    <w:pPr>
      <w:numPr>
        <w:numId w:val="3"/>
      </w:numPr>
    </w:pPr>
  </w:style>
  <w:style w:type="numbering" w:customStyle="1" w:styleId="3">
    <w:name w:val="Імпортований стиль 3"/>
    <w:pPr>
      <w:numPr>
        <w:numId w:val="5"/>
      </w:numPr>
    </w:pPr>
  </w:style>
  <w:style w:type="numbering" w:customStyle="1" w:styleId="4">
    <w:name w:val="Імпортований стиль 4"/>
    <w:pPr>
      <w:numPr>
        <w:numId w:val="7"/>
      </w:numPr>
    </w:pPr>
  </w:style>
  <w:style w:type="numbering" w:customStyle="1" w:styleId="40">
    <w:name w:val="Імпортований стиль 4.0"/>
    <w:pPr>
      <w:numPr>
        <w:numId w:val="9"/>
      </w:numPr>
    </w:pPr>
  </w:style>
  <w:style w:type="numbering" w:customStyle="1" w:styleId="5">
    <w:name w:val="Імпортований стиль 5"/>
    <w:pPr>
      <w:numPr>
        <w:numId w:val="11"/>
      </w:numPr>
    </w:pPr>
  </w:style>
  <w:style w:type="numbering" w:customStyle="1" w:styleId="6">
    <w:name w:val="Імпортований стиль 6"/>
    <w:pPr>
      <w:numPr>
        <w:numId w:val="13"/>
      </w:numPr>
    </w:pPr>
  </w:style>
  <w:style w:type="numbering" w:customStyle="1" w:styleId="7">
    <w:name w:val="Імпортований стиль 7"/>
    <w:pPr>
      <w:numPr>
        <w:numId w:val="15"/>
      </w:numPr>
    </w:pPr>
  </w:style>
  <w:style w:type="numbering" w:customStyle="1" w:styleId="70">
    <w:name w:val="Імпортований стиль 7.0"/>
    <w:pPr>
      <w:numPr>
        <w:numId w:val="17"/>
      </w:numPr>
    </w:pPr>
  </w:style>
  <w:style w:type="numbering" w:customStyle="1" w:styleId="8">
    <w:name w:val="Імпортований стиль 8"/>
    <w:pPr>
      <w:numPr>
        <w:numId w:val="19"/>
      </w:numPr>
    </w:pPr>
  </w:style>
  <w:style w:type="numbering" w:customStyle="1" w:styleId="9">
    <w:name w:val="Імпортований стиль 9"/>
    <w:pPr>
      <w:numPr>
        <w:numId w:val="21"/>
      </w:numPr>
    </w:pPr>
  </w:style>
  <w:style w:type="numbering" w:customStyle="1" w:styleId="10">
    <w:name w:val="Імпортований стиль 10"/>
    <w:pPr>
      <w:numPr>
        <w:numId w:val="23"/>
      </w:numPr>
    </w:pPr>
  </w:style>
  <w:style w:type="numbering" w:customStyle="1" w:styleId="100">
    <w:name w:val="Імпортований стиль 10.0"/>
    <w:pPr>
      <w:numPr>
        <w:numId w:val="25"/>
      </w:numPr>
    </w:pPr>
  </w:style>
  <w:style w:type="numbering" w:customStyle="1" w:styleId="11">
    <w:name w:val="Імпортований стиль 11"/>
    <w:pPr>
      <w:numPr>
        <w:numId w:val="27"/>
      </w:numPr>
    </w:pPr>
  </w:style>
  <w:style w:type="numbering" w:customStyle="1" w:styleId="110">
    <w:name w:val="Імпортований стиль 11.0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7996</Words>
  <Characters>4558</Characters>
  <Application>Microsoft Office Word</Application>
  <DocSecurity>0</DocSecurity>
  <Lines>37</Lines>
  <Paragraphs>25</Paragraphs>
  <ScaleCrop>false</ScaleCrop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Букалюк</cp:lastModifiedBy>
  <cp:revision>2</cp:revision>
  <dcterms:created xsi:type="dcterms:W3CDTF">2024-09-30T16:20:00Z</dcterms:created>
  <dcterms:modified xsi:type="dcterms:W3CDTF">2024-09-30T16:21:00Z</dcterms:modified>
</cp:coreProperties>
</file>